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9D" w:rsidRDefault="009F5E9D" w:rsidP="00286128">
      <w:pPr>
        <w:jc w:val="right"/>
      </w:pPr>
      <w:bookmarkStart w:id="0" w:name="_GoBack"/>
      <w:bookmarkEnd w:id="0"/>
      <w:r>
        <w:t>2013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  <w:r>
        <w:t>25</w:t>
      </w:r>
      <w:r>
        <w:rPr>
          <w:rFonts w:hint="eastAsia"/>
        </w:rPr>
        <w:t>日</w:t>
      </w:r>
    </w:p>
    <w:p w:rsidR="009F5E9D" w:rsidRDefault="009F5E9D">
      <w:r>
        <w:t>SIPS MP-TF</w:t>
      </w:r>
      <w:r>
        <w:rPr>
          <w:rFonts w:hint="eastAsia"/>
        </w:rPr>
        <w:t>委員　各位</w:t>
      </w:r>
    </w:p>
    <w:p w:rsidR="009F5E9D" w:rsidRDefault="009F5E9D" w:rsidP="005D4195">
      <w:pPr>
        <w:wordWrap w:val="0"/>
        <w:jc w:val="right"/>
      </w:pPr>
      <w:r>
        <w:t>SIPS MT-TF</w:t>
      </w:r>
      <w:r>
        <w:rPr>
          <w:rFonts w:hint="eastAsia"/>
        </w:rPr>
        <w:t>運営委員</w:t>
      </w:r>
    </w:p>
    <w:p w:rsidR="009F5E9D" w:rsidRDefault="009F5E9D"/>
    <w:p w:rsidR="009F5E9D" w:rsidRPr="00286128" w:rsidRDefault="009F5E9D" w:rsidP="00286128">
      <w:pPr>
        <w:jc w:val="center"/>
        <w:rPr>
          <w:rFonts w:ascii="HGP創英角ｺﾞｼｯｸUB" w:eastAsia="HGP創英角ｺﾞｼｯｸUB"/>
          <w:sz w:val="36"/>
        </w:rPr>
      </w:pPr>
      <w:r>
        <w:rPr>
          <w:rFonts w:ascii="HGP創英角ｺﾞｼｯｸUB" w:eastAsia="HGP創英角ｺﾞｼｯｸUB"/>
          <w:sz w:val="36"/>
        </w:rPr>
        <w:t>SIPS</w:t>
      </w:r>
      <w:r>
        <w:rPr>
          <w:rFonts w:ascii="HGP創英角ｺﾞｼｯｸUB" w:eastAsia="HGP創英角ｺﾞｼｯｸUB" w:hint="eastAsia"/>
          <w:sz w:val="36"/>
        </w:rPr>
        <w:t xml:space="preserve">　メッセージング基盤</w:t>
      </w:r>
      <w:r>
        <w:rPr>
          <w:rFonts w:ascii="HGP創英角ｺﾞｼｯｸUB" w:eastAsia="HGP創英角ｺﾞｼｯｸUB"/>
          <w:sz w:val="36"/>
        </w:rPr>
        <w:t>TF</w:t>
      </w:r>
      <w:r>
        <w:rPr>
          <w:rFonts w:ascii="HGP創英角ｺﾞｼｯｸUB" w:eastAsia="HGP創英角ｺﾞｼｯｸUB" w:hint="eastAsia"/>
          <w:sz w:val="36"/>
        </w:rPr>
        <w:t xml:space="preserve">　活動計画</w:t>
      </w:r>
    </w:p>
    <w:p w:rsidR="009F5E9D" w:rsidRDefault="009F5E9D"/>
    <w:p w:rsidR="009F5E9D" w:rsidRPr="0027230D" w:rsidRDefault="009F5E9D" w:rsidP="005A4C09">
      <w:pPr>
        <w:pStyle w:val="ad"/>
        <w:numPr>
          <w:ilvl w:val="0"/>
          <w:numId w:val="1"/>
        </w:numPr>
        <w:ind w:leftChars="0"/>
        <w:rPr>
          <w:b/>
          <w:sz w:val="24"/>
        </w:rPr>
      </w:pPr>
      <w:r>
        <w:rPr>
          <w:rFonts w:hint="eastAsia"/>
          <w:b/>
          <w:sz w:val="24"/>
        </w:rPr>
        <w:t>目的</w:t>
      </w:r>
    </w:p>
    <w:p w:rsidR="009F5E9D" w:rsidRDefault="009F5E9D" w:rsidP="000C617C">
      <w:pPr>
        <w:pStyle w:val="ad"/>
        <w:numPr>
          <w:ilvl w:val="1"/>
          <w:numId w:val="7"/>
        </w:numPr>
        <w:tabs>
          <w:tab w:val="left" w:pos="0"/>
        </w:tabs>
        <w:ind w:leftChars="0"/>
        <w:jc w:val="left"/>
        <w:rPr>
          <w:bCs/>
        </w:rPr>
      </w:pPr>
      <w:r w:rsidRPr="000C617C">
        <w:rPr>
          <w:rFonts w:hint="eastAsia"/>
          <w:bCs/>
        </w:rPr>
        <w:t>国内企業が</w:t>
      </w:r>
      <w:r>
        <w:rPr>
          <w:rFonts w:hint="eastAsia"/>
          <w:bCs/>
        </w:rPr>
        <w:t>アジアを中心とする</w:t>
      </w:r>
      <w:r w:rsidRPr="000C617C">
        <w:rPr>
          <w:rFonts w:hint="eastAsia"/>
          <w:bCs/>
        </w:rPr>
        <w:t>海外とのサプライチェーン連携を目指すとき、どのような考慮が必要かをまとめたガイドライン</w:t>
      </w:r>
      <w:r>
        <w:rPr>
          <w:rFonts w:hint="eastAsia"/>
          <w:bCs/>
        </w:rPr>
        <w:t>の策定を行う</w:t>
      </w:r>
      <w:r w:rsidRPr="000C617C">
        <w:rPr>
          <w:rFonts w:hint="eastAsia"/>
          <w:bCs/>
        </w:rPr>
        <w:t>。</w:t>
      </w:r>
    </w:p>
    <w:p w:rsidR="009F5E9D" w:rsidRPr="000C617C" w:rsidRDefault="009F5E9D" w:rsidP="000C617C">
      <w:pPr>
        <w:pStyle w:val="ad"/>
        <w:tabs>
          <w:tab w:val="left" w:pos="0"/>
        </w:tabs>
        <w:ind w:leftChars="0"/>
        <w:jc w:val="left"/>
        <w:rPr>
          <w:bCs/>
        </w:rPr>
      </w:pPr>
    </w:p>
    <w:p w:rsidR="009F5E9D" w:rsidRPr="00F64F35" w:rsidRDefault="009F5E9D" w:rsidP="00F64F35">
      <w:pPr>
        <w:pStyle w:val="ad"/>
        <w:numPr>
          <w:ilvl w:val="0"/>
          <w:numId w:val="1"/>
        </w:numPr>
        <w:ind w:leftChars="0"/>
        <w:rPr>
          <w:b/>
          <w:sz w:val="24"/>
        </w:rPr>
      </w:pPr>
      <w:r w:rsidRPr="00F64F35">
        <w:rPr>
          <w:rFonts w:hint="eastAsia"/>
          <w:b/>
          <w:sz w:val="24"/>
        </w:rPr>
        <w:t>活動範囲</w:t>
      </w:r>
    </w:p>
    <w:p w:rsidR="009F5E9D" w:rsidRDefault="009F5E9D" w:rsidP="000A0832">
      <w:pPr>
        <w:pStyle w:val="ad"/>
        <w:numPr>
          <w:ilvl w:val="1"/>
          <w:numId w:val="7"/>
        </w:numPr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海外の企業もしくは</w:t>
      </w:r>
      <w:r>
        <w:rPr>
          <w:bCs/>
        </w:rPr>
        <w:t>VAN/ASP</w:t>
      </w:r>
      <w:r>
        <w:rPr>
          <w:rFonts w:hint="eastAsia"/>
          <w:bCs/>
        </w:rPr>
        <w:t>ベンダーと</w:t>
      </w:r>
      <w:r>
        <w:rPr>
          <w:bCs/>
        </w:rPr>
        <w:t>EDI</w:t>
      </w:r>
      <w:r>
        <w:rPr>
          <w:rFonts w:hint="eastAsia"/>
          <w:bCs/>
        </w:rPr>
        <w:t>を行う上で必要となる事項を調査しガイドラインを策定する。</w:t>
      </w:r>
    </w:p>
    <w:p w:rsidR="009F5E9D" w:rsidRDefault="009F5E9D" w:rsidP="000A0832">
      <w:pPr>
        <w:pStyle w:val="ad"/>
        <w:numPr>
          <w:ilvl w:val="1"/>
          <w:numId w:val="7"/>
        </w:numPr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それを確認するための実証実験を行う。</w:t>
      </w:r>
    </w:p>
    <w:p w:rsidR="009F5E9D" w:rsidRDefault="009F5E9D" w:rsidP="000A0832">
      <w:pPr>
        <w:pStyle w:val="ad"/>
        <w:numPr>
          <w:ilvl w:val="1"/>
          <w:numId w:val="7"/>
        </w:numPr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できあがったガイドラインを普及（周知・展開）・保守しうる体制も構築する。</w:t>
      </w:r>
    </w:p>
    <w:p w:rsidR="009F5E9D" w:rsidRPr="000C617C" w:rsidRDefault="009F5E9D" w:rsidP="009B6142">
      <w:pPr>
        <w:tabs>
          <w:tab w:val="left" w:pos="0"/>
        </w:tabs>
        <w:ind w:leftChars="200" w:left="420" w:firstLineChars="200" w:firstLine="420"/>
        <w:rPr>
          <w:bCs/>
        </w:rPr>
      </w:pPr>
    </w:p>
    <w:p w:rsidR="009F5E9D" w:rsidRPr="00F64F35" w:rsidRDefault="009F5E9D" w:rsidP="00F64F35">
      <w:pPr>
        <w:pStyle w:val="ad"/>
        <w:numPr>
          <w:ilvl w:val="0"/>
          <w:numId w:val="1"/>
        </w:numPr>
        <w:ind w:leftChars="0"/>
        <w:rPr>
          <w:b/>
          <w:sz w:val="24"/>
        </w:rPr>
      </w:pPr>
      <w:r>
        <w:rPr>
          <w:rFonts w:hint="eastAsia"/>
          <w:b/>
          <w:sz w:val="24"/>
        </w:rPr>
        <w:t>活動</w:t>
      </w:r>
      <w:r w:rsidRPr="00F64F35">
        <w:rPr>
          <w:rFonts w:hint="eastAsia"/>
          <w:b/>
          <w:sz w:val="24"/>
        </w:rPr>
        <w:t>計画</w:t>
      </w:r>
    </w:p>
    <w:p w:rsidR="009F5E9D" w:rsidRDefault="009F5E9D" w:rsidP="004171DB">
      <w:pPr>
        <w:pStyle w:val="ad"/>
        <w:numPr>
          <w:ilvl w:val="0"/>
          <w:numId w:val="11"/>
        </w:numPr>
        <w:tabs>
          <w:tab w:val="left" w:pos="0"/>
        </w:tabs>
        <w:ind w:leftChars="0"/>
        <w:rPr>
          <w:bCs/>
        </w:rPr>
      </w:pPr>
      <w:r>
        <w:rPr>
          <w:bCs/>
        </w:rPr>
        <w:t>2012</w:t>
      </w:r>
      <w:r>
        <w:rPr>
          <w:rFonts w:hint="eastAsia"/>
          <w:bCs/>
        </w:rPr>
        <w:t>年度</w:t>
      </w:r>
    </w:p>
    <w:p w:rsidR="009F5E9D" w:rsidRDefault="009F5E9D" w:rsidP="000C617C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ガイドラインの枠組みを確定する。</w:t>
      </w:r>
    </w:p>
    <w:p w:rsidR="009F5E9D" w:rsidRDefault="009F5E9D" w:rsidP="000C617C">
      <w:pPr>
        <w:pStyle w:val="ad"/>
        <w:tabs>
          <w:tab w:val="left" w:pos="0"/>
        </w:tabs>
        <w:ind w:leftChars="0"/>
        <w:rPr>
          <w:bCs/>
        </w:rPr>
      </w:pPr>
    </w:p>
    <w:p w:rsidR="009F5E9D" w:rsidRPr="004171DB" w:rsidRDefault="009F5E9D" w:rsidP="00C75291">
      <w:pPr>
        <w:pStyle w:val="ad"/>
        <w:numPr>
          <w:ilvl w:val="0"/>
          <w:numId w:val="11"/>
        </w:numPr>
        <w:tabs>
          <w:tab w:val="left" w:pos="0"/>
        </w:tabs>
        <w:ind w:leftChars="0"/>
        <w:rPr>
          <w:bCs/>
        </w:rPr>
      </w:pPr>
      <w:r w:rsidRPr="004171DB">
        <w:rPr>
          <w:bCs/>
        </w:rPr>
        <w:t>201</w:t>
      </w:r>
      <w:r>
        <w:rPr>
          <w:bCs/>
        </w:rPr>
        <w:t>3</w:t>
      </w:r>
      <w:r w:rsidRPr="004171DB">
        <w:rPr>
          <w:rFonts w:hint="eastAsia"/>
          <w:bCs/>
        </w:rPr>
        <w:t>年度</w:t>
      </w:r>
    </w:p>
    <w:p w:rsidR="009F5E9D" w:rsidRDefault="009F5E9D" w:rsidP="00E80FA9">
      <w:pPr>
        <w:pStyle w:val="ad"/>
        <w:tabs>
          <w:tab w:val="left" w:pos="0"/>
        </w:tabs>
        <w:ind w:leftChars="0"/>
        <w:rPr>
          <w:bCs/>
        </w:rPr>
      </w:pPr>
      <w:r w:rsidRPr="00AD402A">
        <w:rPr>
          <w:bCs/>
        </w:rPr>
        <w:t>EDI</w:t>
      </w:r>
      <w:r>
        <w:rPr>
          <w:rFonts w:hint="eastAsia"/>
          <w:bCs/>
        </w:rPr>
        <w:t>に適用する</w:t>
      </w:r>
      <w:r w:rsidRPr="00AD402A">
        <w:rPr>
          <w:rFonts w:hint="eastAsia"/>
          <w:bCs/>
        </w:rPr>
        <w:t>相互運用性のある信頼性メッセージ基盤フレームワー</w:t>
      </w:r>
      <w:r w:rsidRPr="0018425E">
        <w:rPr>
          <w:rFonts w:hint="eastAsia"/>
          <w:bCs/>
        </w:rPr>
        <w:t>ク</w:t>
      </w:r>
      <w:r>
        <w:rPr>
          <w:rFonts w:hint="eastAsia"/>
          <w:bCs/>
        </w:rPr>
        <w:t>構築に必要となる要件につき調査を行う。</w:t>
      </w:r>
    </w:p>
    <w:p w:rsidR="009F5E9D" w:rsidRPr="009B6142" w:rsidRDefault="009F5E9D" w:rsidP="00462845">
      <w:pPr>
        <w:pStyle w:val="ad"/>
        <w:tabs>
          <w:tab w:val="left" w:pos="0"/>
        </w:tabs>
        <w:ind w:leftChars="0"/>
        <w:rPr>
          <w:bCs/>
        </w:rPr>
      </w:pPr>
    </w:p>
    <w:p w:rsidR="009F5E9D" w:rsidRPr="009B6142" w:rsidRDefault="009F5E9D" w:rsidP="00C75291">
      <w:pPr>
        <w:pStyle w:val="ad"/>
        <w:numPr>
          <w:ilvl w:val="0"/>
          <w:numId w:val="11"/>
        </w:numPr>
        <w:tabs>
          <w:tab w:val="left" w:pos="0"/>
        </w:tabs>
        <w:ind w:leftChars="0"/>
        <w:rPr>
          <w:bCs/>
        </w:rPr>
      </w:pPr>
      <w:r w:rsidRPr="009B6142">
        <w:rPr>
          <w:bCs/>
        </w:rPr>
        <w:t>201</w:t>
      </w:r>
      <w:r>
        <w:rPr>
          <w:bCs/>
        </w:rPr>
        <w:t>4</w:t>
      </w:r>
      <w:r w:rsidRPr="009B6142">
        <w:rPr>
          <w:rFonts w:hint="eastAsia"/>
          <w:bCs/>
        </w:rPr>
        <w:t>年度</w:t>
      </w:r>
    </w:p>
    <w:p w:rsidR="009F5E9D" w:rsidRDefault="009F5E9D" w:rsidP="00C75291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調査結果をもとに、ガイドラインを策定する</w:t>
      </w:r>
    </w:p>
    <w:p w:rsidR="009F5E9D" w:rsidRPr="009B6142" w:rsidRDefault="009F5E9D" w:rsidP="00C75291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あわせて、対象となる実証範囲を決めた上で、国内でのベンダー間実証実験参加メンバーを募り、実証仕様書を作成する。</w:t>
      </w:r>
    </w:p>
    <w:p w:rsidR="009F5E9D" w:rsidRPr="009B6142" w:rsidRDefault="009F5E9D" w:rsidP="004171DB">
      <w:pPr>
        <w:tabs>
          <w:tab w:val="left" w:pos="0"/>
        </w:tabs>
        <w:ind w:leftChars="200" w:left="420"/>
        <w:rPr>
          <w:bCs/>
        </w:rPr>
      </w:pPr>
    </w:p>
    <w:p w:rsidR="009F5E9D" w:rsidRPr="009B6142" w:rsidRDefault="009F5E9D" w:rsidP="00C75291">
      <w:pPr>
        <w:pStyle w:val="ad"/>
        <w:numPr>
          <w:ilvl w:val="0"/>
          <w:numId w:val="11"/>
        </w:numPr>
        <w:tabs>
          <w:tab w:val="left" w:pos="0"/>
        </w:tabs>
        <w:ind w:leftChars="0"/>
        <w:rPr>
          <w:bCs/>
        </w:rPr>
      </w:pPr>
      <w:r w:rsidRPr="009B6142">
        <w:rPr>
          <w:bCs/>
        </w:rPr>
        <w:t>201</w:t>
      </w:r>
      <w:r>
        <w:rPr>
          <w:bCs/>
        </w:rPr>
        <w:t>5</w:t>
      </w:r>
      <w:r w:rsidRPr="009B6142">
        <w:rPr>
          <w:rFonts w:hint="eastAsia"/>
          <w:bCs/>
        </w:rPr>
        <w:t>年度</w:t>
      </w:r>
    </w:p>
    <w:p w:rsidR="009F5E9D" w:rsidRDefault="009F5E9D" w:rsidP="00C75291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国内での実証実験を行い、実施企業に証明書</w:t>
      </w:r>
      <w:r w:rsidRPr="009B6142">
        <w:rPr>
          <w:rFonts w:hint="eastAsia"/>
          <w:bCs/>
        </w:rPr>
        <w:t>を発行する。</w:t>
      </w:r>
    </w:p>
    <w:p w:rsidR="009F5E9D" w:rsidRDefault="009F5E9D" w:rsidP="00C75291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同時にフレームワークを</w:t>
      </w:r>
      <w:r>
        <w:rPr>
          <w:bCs/>
        </w:rPr>
        <w:t>AFACT</w:t>
      </w:r>
      <w:r>
        <w:rPr>
          <w:rFonts w:hint="eastAsia"/>
          <w:bCs/>
        </w:rPr>
        <w:t>にて提案し、アジア域内での相互接続実証計画を策定する。</w:t>
      </w:r>
    </w:p>
    <w:p w:rsidR="009F5E9D" w:rsidRDefault="009F5E9D" w:rsidP="00C75291">
      <w:pPr>
        <w:pStyle w:val="ad"/>
        <w:tabs>
          <w:tab w:val="left" w:pos="0"/>
        </w:tabs>
        <w:ind w:leftChars="0"/>
        <w:rPr>
          <w:bCs/>
        </w:rPr>
      </w:pPr>
    </w:p>
    <w:p w:rsidR="009F5E9D" w:rsidRPr="009B6142" w:rsidRDefault="009F5E9D" w:rsidP="000A0832">
      <w:pPr>
        <w:pStyle w:val="ad"/>
        <w:numPr>
          <w:ilvl w:val="0"/>
          <w:numId w:val="11"/>
        </w:numPr>
        <w:tabs>
          <w:tab w:val="left" w:pos="0"/>
        </w:tabs>
        <w:ind w:leftChars="0"/>
        <w:rPr>
          <w:bCs/>
        </w:rPr>
      </w:pPr>
      <w:r w:rsidRPr="009B6142">
        <w:rPr>
          <w:bCs/>
        </w:rPr>
        <w:t>201</w:t>
      </w:r>
      <w:r>
        <w:rPr>
          <w:bCs/>
        </w:rPr>
        <w:t>6</w:t>
      </w:r>
      <w:r w:rsidRPr="009B6142">
        <w:rPr>
          <w:rFonts w:hint="eastAsia"/>
          <w:bCs/>
        </w:rPr>
        <w:t>年度</w:t>
      </w:r>
      <w:r>
        <w:rPr>
          <w:rFonts w:hint="eastAsia"/>
          <w:bCs/>
        </w:rPr>
        <w:t>以降</w:t>
      </w:r>
    </w:p>
    <w:p w:rsidR="009F5E9D" w:rsidRDefault="009F5E9D" w:rsidP="000A0832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フレームワークおよび実証仕様書に基づく</w:t>
      </w:r>
      <w:r w:rsidRPr="009B6142">
        <w:rPr>
          <w:rFonts w:hint="eastAsia"/>
          <w:bCs/>
        </w:rPr>
        <w:t>ガイドラインの策定を進め</w:t>
      </w:r>
      <w:r>
        <w:rPr>
          <w:rFonts w:hint="eastAsia"/>
          <w:bCs/>
        </w:rPr>
        <w:t>るとともに、ガイドラインの</w:t>
      </w:r>
      <w:r w:rsidRPr="009B6142">
        <w:rPr>
          <w:rFonts w:hint="eastAsia"/>
          <w:bCs/>
        </w:rPr>
        <w:t>メンテナンス体制を構築する。</w:t>
      </w:r>
    </w:p>
    <w:p w:rsidR="009F5E9D" w:rsidRDefault="009F5E9D" w:rsidP="00462845">
      <w:pPr>
        <w:pStyle w:val="ad"/>
        <w:tabs>
          <w:tab w:val="left" w:pos="0"/>
        </w:tabs>
        <w:ind w:leftChars="0"/>
        <w:rPr>
          <w:bCs/>
        </w:rPr>
      </w:pPr>
      <w:r>
        <w:rPr>
          <w:rFonts w:hint="eastAsia"/>
          <w:bCs/>
        </w:rPr>
        <w:t>アジア域内での相互接続実証を行い、実施企業に証明書</w:t>
      </w:r>
      <w:r w:rsidRPr="009B6142">
        <w:rPr>
          <w:rFonts w:hint="eastAsia"/>
          <w:bCs/>
        </w:rPr>
        <w:t>を発行する。</w:t>
      </w:r>
    </w:p>
    <w:p w:rsidR="009F5E9D" w:rsidRDefault="009F5E9D" w:rsidP="00462845">
      <w:pPr>
        <w:pStyle w:val="a5"/>
      </w:pPr>
      <w:r>
        <w:rPr>
          <w:rFonts w:hint="eastAsia"/>
        </w:rPr>
        <w:t>以上</w:t>
      </w:r>
    </w:p>
    <w:p w:rsidR="009F5E9D" w:rsidRPr="0018425E" w:rsidRDefault="009F5E9D" w:rsidP="00462845">
      <w:pPr>
        <w:pStyle w:val="ad"/>
        <w:tabs>
          <w:tab w:val="left" w:pos="0"/>
        </w:tabs>
        <w:ind w:leftChars="0"/>
        <w:rPr>
          <w:bCs/>
        </w:rPr>
      </w:pPr>
    </w:p>
    <w:sectPr w:rsidR="009F5E9D" w:rsidRPr="0018425E" w:rsidSect="00B3302F">
      <w:headerReference w:type="default" r:id="rId8"/>
      <w:footerReference w:type="default" r:id="rId9"/>
      <w:pgSz w:w="11906" w:h="16838" w:code="9"/>
      <w:pgMar w:top="1418" w:right="1134" w:bottom="1418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01" w:rsidRDefault="00CD7701" w:rsidP="00541BE9">
      <w:r>
        <w:separator/>
      </w:r>
    </w:p>
  </w:endnote>
  <w:endnote w:type="continuationSeparator" w:id="0">
    <w:p w:rsidR="00CD7701" w:rsidRDefault="00CD7701" w:rsidP="0054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9D" w:rsidRDefault="00CD770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B2232" w:rsidRPr="008B2232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9F5E9D" w:rsidRDefault="009F5E9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01" w:rsidRDefault="00CD7701" w:rsidP="00541BE9">
      <w:r>
        <w:separator/>
      </w:r>
    </w:p>
  </w:footnote>
  <w:footnote w:type="continuationSeparator" w:id="0">
    <w:p w:rsidR="00CD7701" w:rsidRDefault="00CD7701" w:rsidP="00541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32" w:rsidRDefault="008B2232" w:rsidP="008B2232">
    <w:pPr>
      <w:pStyle w:val="a9"/>
      <w:jc w:val="right"/>
    </w:pPr>
    <w:r>
      <w:rPr>
        <w:rFonts w:hint="eastAsia"/>
      </w:rPr>
      <w:t>MSG 2012-05-05</w:t>
    </w:r>
  </w:p>
  <w:p w:rsidR="008B2232" w:rsidRDefault="008B223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732"/>
    <w:multiLevelType w:val="hybridMultilevel"/>
    <w:tmpl w:val="52B20366"/>
    <w:lvl w:ilvl="0" w:tplc="04090001">
      <w:start w:val="1"/>
      <w:numFmt w:val="bullet"/>
      <w:lvlText w:val=""/>
      <w:lvlJc w:val="left"/>
      <w:pPr>
        <w:ind w:left="11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1">
    <w:nsid w:val="0E2716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">
    <w:nsid w:val="1F290FCD"/>
    <w:multiLevelType w:val="multilevel"/>
    <w:tmpl w:val="49663B9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ind w:left="840" w:hanging="613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 w:hint="eastAsia"/>
      </w:rPr>
    </w:lvl>
  </w:abstractNum>
  <w:abstractNum w:abstractNumId="3">
    <w:nsid w:val="28E815CF"/>
    <w:multiLevelType w:val="hybridMultilevel"/>
    <w:tmpl w:val="DB40D75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2BC73701"/>
    <w:multiLevelType w:val="hybridMultilevel"/>
    <w:tmpl w:val="D92ABD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C057118"/>
    <w:multiLevelType w:val="hybridMultilevel"/>
    <w:tmpl w:val="E8C0BD5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CB1450C"/>
    <w:multiLevelType w:val="hybridMultilevel"/>
    <w:tmpl w:val="DC36BCDC"/>
    <w:lvl w:ilvl="0" w:tplc="6F661F1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1" w:tplc="6964BEF4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DB76C96A">
      <w:start w:val="1"/>
      <w:numFmt w:val="lowerLetter"/>
      <w:lvlText w:val="%3."/>
      <w:lvlJc w:val="left"/>
      <w:pPr>
        <w:ind w:left="1200" w:hanging="36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35454FA0"/>
    <w:multiLevelType w:val="hybridMultilevel"/>
    <w:tmpl w:val="CA94381C"/>
    <w:lvl w:ilvl="0" w:tplc="08F4C48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398B4058"/>
    <w:multiLevelType w:val="hybridMultilevel"/>
    <w:tmpl w:val="5776D31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3A796532"/>
    <w:multiLevelType w:val="hybridMultilevel"/>
    <w:tmpl w:val="D62E3AEA"/>
    <w:lvl w:ilvl="0" w:tplc="579A26A0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877402F0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>
    <w:nsid w:val="3B9D39D9"/>
    <w:multiLevelType w:val="hybridMultilevel"/>
    <w:tmpl w:val="9F9E0064"/>
    <w:lvl w:ilvl="0" w:tplc="D462368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E272EFA"/>
    <w:multiLevelType w:val="multilevel"/>
    <w:tmpl w:val="49663B9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ind w:left="840" w:hanging="613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 w:hint="eastAsia"/>
      </w:rPr>
    </w:lvl>
  </w:abstractNum>
  <w:abstractNum w:abstractNumId="12">
    <w:nsid w:val="405F2DF0"/>
    <w:multiLevelType w:val="multilevel"/>
    <w:tmpl w:val="49663B9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ind w:left="840" w:hanging="613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 w:hint="eastAsia"/>
      </w:rPr>
    </w:lvl>
  </w:abstractNum>
  <w:abstractNum w:abstractNumId="13">
    <w:nsid w:val="42B15402"/>
    <w:multiLevelType w:val="hybridMultilevel"/>
    <w:tmpl w:val="45CC032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45CF65B9"/>
    <w:multiLevelType w:val="hybridMultilevel"/>
    <w:tmpl w:val="411E7702"/>
    <w:lvl w:ilvl="0" w:tplc="59EC112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5">
    <w:nsid w:val="66C26DBF"/>
    <w:multiLevelType w:val="hybridMultilevel"/>
    <w:tmpl w:val="201C1AA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877402F0">
      <w:start w:val="2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6DE0678B"/>
    <w:multiLevelType w:val="hybridMultilevel"/>
    <w:tmpl w:val="3A66C2B6"/>
    <w:lvl w:ilvl="0" w:tplc="948C441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>
    <w:nsid w:val="7BE72DB3"/>
    <w:multiLevelType w:val="hybridMultilevel"/>
    <w:tmpl w:val="C37ACC0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6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10"/>
  </w:num>
  <w:num w:numId="11">
    <w:abstractNumId w:val="3"/>
  </w:num>
  <w:num w:numId="12">
    <w:abstractNumId w:val="2"/>
  </w:num>
  <w:num w:numId="13">
    <w:abstractNumId w:val="8"/>
  </w:num>
  <w:num w:numId="14">
    <w:abstractNumId w:val="17"/>
  </w:num>
  <w:num w:numId="15">
    <w:abstractNumId w:val="12"/>
  </w:num>
  <w:num w:numId="16">
    <w:abstractNumId w:val="1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840"/>
  <w:drawingGridHorizontalSpacing w:val="105"/>
  <w:drawingGridVerticalSpacing w:val="31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128"/>
    <w:rsid w:val="00066B2E"/>
    <w:rsid w:val="00086315"/>
    <w:rsid w:val="000A0832"/>
    <w:rsid w:val="000C5FD1"/>
    <w:rsid w:val="000C617C"/>
    <w:rsid w:val="000E1EDB"/>
    <w:rsid w:val="001102EE"/>
    <w:rsid w:val="00111119"/>
    <w:rsid w:val="001527A3"/>
    <w:rsid w:val="00172922"/>
    <w:rsid w:val="0018362B"/>
    <w:rsid w:val="0018425E"/>
    <w:rsid w:val="001855B8"/>
    <w:rsid w:val="001A141A"/>
    <w:rsid w:val="001C20E0"/>
    <w:rsid w:val="001C2DC5"/>
    <w:rsid w:val="001C339B"/>
    <w:rsid w:val="001C4860"/>
    <w:rsid w:val="0027230D"/>
    <w:rsid w:val="00286128"/>
    <w:rsid w:val="002A431D"/>
    <w:rsid w:val="002B5332"/>
    <w:rsid w:val="002F60EA"/>
    <w:rsid w:val="00341957"/>
    <w:rsid w:val="00343C6E"/>
    <w:rsid w:val="003B1A9B"/>
    <w:rsid w:val="003C5B9D"/>
    <w:rsid w:val="003E2867"/>
    <w:rsid w:val="004171DB"/>
    <w:rsid w:val="00417886"/>
    <w:rsid w:val="004206CC"/>
    <w:rsid w:val="00441D05"/>
    <w:rsid w:val="00462845"/>
    <w:rsid w:val="0047349F"/>
    <w:rsid w:val="00474407"/>
    <w:rsid w:val="004D0C08"/>
    <w:rsid w:val="00541BE9"/>
    <w:rsid w:val="0056166A"/>
    <w:rsid w:val="005814A4"/>
    <w:rsid w:val="00596BCA"/>
    <w:rsid w:val="005A4C09"/>
    <w:rsid w:val="005B1962"/>
    <w:rsid w:val="005B5A11"/>
    <w:rsid w:val="005C74D0"/>
    <w:rsid w:val="005D4195"/>
    <w:rsid w:val="005D5801"/>
    <w:rsid w:val="00624B01"/>
    <w:rsid w:val="00637B13"/>
    <w:rsid w:val="00654B28"/>
    <w:rsid w:val="00676E6E"/>
    <w:rsid w:val="006979A5"/>
    <w:rsid w:val="006C420C"/>
    <w:rsid w:val="006E1989"/>
    <w:rsid w:val="0073749A"/>
    <w:rsid w:val="00762F18"/>
    <w:rsid w:val="00792978"/>
    <w:rsid w:val="007F379D"/>
    <w:rsid w:val="007F4CE7"/>
    <w:rsid w:val="00814662"/>
    <w:rsid w:val="008156DD"/>
    <w:rsid w:val="008207ED"/>
    <w:rsid w:val="00824A5D"/>
    <w:rsid w:val="0086637A"/>
    <w:rsid w:val="008B2232"/>
    <w:rsid w:val="008E475F"/>
    <w:rsid w:val="00943B04"/>
    <w:rsid w:val="00952842"/>
    <w:rsid w:val="009B6142"/>
    <w:rsid w:val="009B6B91"/>
    <w:rsid w:val="009F5E9D"/>
    <w:rsid w:val="00A30FFB"/>
    <w:rsid w:val="00A452AD"/>
    <w:rsid w:val="00A453FE"/>
    <w:rsid w:val="00A54AE7"/>
    <w:rsid w:val="00A60E0F"/>
    <w:rsid w:val="00AC6F3C"/>
    <w:rsid w:val="00AD39F6"/>
    <w:rsid w:val="00AD402A"/>
    <w:rsid w:val="00AE4FB2"/>
    <w:rsid w:val="00B15450"/>
    <w:rsid w:val="00B27F65"/>
    <w:rsid w:val="00B3302F"/>
    <w:rsid w:val="00B34B81"/>
    <w:rsid w:val="00B47979"/>
    <w:rsid w:val="00B87FE8"/>
    <w:rsid w:val="00BA7018"/>
    <w:rsid w:val="00BB13A2"/>
    <w:rsid w:val="00BC04C2"/>
    <w:rsid w:val="00C02DD2"/>
    <w:rsid w:val="00C45B48"/>
    <w:rsid w:val="00C47F80"/>
    <w:rsid w:val="00C569FA"/>
    <w:rsid w:val="00C75291"/>
    <w:rsid w:val="00CC0FB3"/>
    <w:rsid w:val="00CC7A8D"/>
    <w:rsid w:val="00CD7701"/>
    <w:rsid w:val="00CE6BD8"/>
    <w:rsid w:val="00D21BAD"/>
    <w:rsid w:val="00D727A4"/>
    <w:rsid w:val="00D77617"/>
    <w:rsid w:val="00DA1ED2"/>
    <w:rsid w:val="00DD7346"/>
    <w:rsid w:val="00E53545"/>
    <w:rsid w:val="00E53562"/>
    <w:rsid w:val="00E56FAF"/>
    <w:rsid w:val="00E578FE"/>
    <w:rsid w:val="00E80FA9"/>
    <w:rsid w:val="00EC3A01"/>
    <w:rsid w:val="00F07A9B"/>
    <w:rsid w:val="00F55164"/>
    <w:rsid w:val="00F568B7"/>
    <w:rsid w:val="00F6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286128"/>
  </w:style>
  <w:style w:type="character" w:customStyle="1" w:styleId="a4">
    <w:name w:val="日付 (文字)"/>
    <w:link w:val="a3"/>
    <w:uiPriority w:val="99"/>
    <w:semiHidden/>
    <w:locked/>
    <w:rsid w:val="00286128"/>
    <w:rPr>
      <w:rFonts w:cs="Times New Roman"/>
    </w:rPr>
  </w:style>
  <w:style w:type="paragraph" w:styleId="a5">
    <w:name w:val="Closing"/>
    <w:basedOn w:val="a"/>
    <w:link w:val="a6"/>
    <w:uiPriority w:val="99"/>
    <w:rsid w:val="00BB13A2"/>
    <w:pPr>
      <w:jc w:val="right"/>
    </w:pPr>
  </w:style>
  <w:style w:type="character" w:customStyle="1" w:styleId="a6">
    <w:name w:val="結語 (文字)"/>
    <w:link w:val="a5"/>
    <w:uiPriority w:val="99"/>
    <w:locked/>
    <w:rsid w:val="00BB13A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B13A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BB13A2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rsid w:val="00541B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541BE9"/>
    <w:rPr>
      <w:rFonts w:cs="Times New Roman"/>
    </w:rPr>
  </w:style>
  <w:style w:type="paragraph" w:styleId="ab">
    <w:name w:val="footer"/>
    <w:basedOn w:val="a"/>
    <w:link w:val="ac"/>
    <w:uiPriority w:val="99"/>
    <w:rsid w:val="00541BE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541BE9"/>
    <w:rPr>
      <w:rFonts w:cs="Times New Roman"/>
    </w:rPr>
  </w:style>
  <w:style w:type="paragraph" w:styleId="ad">
    <w:name w:val="List Paragraph"/>
    <w:basedOn w:val="a"/>
    <w:uiPriority w:val="99"/>
    <w:qFormat/>
    <w:rsid w:val="005A4C0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2013年1月25日</dc:title>
  <dc:subject/>
  <dc:creator>fujino</dc:creator>
  <cp:keywords/>
  <dc:description/>
  <cp:lastModifiedBy>sugamata</cp:lastModifiedBy>
  <cp:revision>5</cp:revision>
  <cp:lastPrinted>2012-12-04T11:33:00Z</cp:lastPrinted>
  <dcterms:created xsi:type="dcterms:W3CDTF">2013-01-26T03:47:00Z</dcterms:created>
  <dcterms:modified xsi:type="dcterms:W3CDTF">2013-01-27T04:37:00Z</dcterms:modified>
</cp:coreProperties>
</file>