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01ACF2" w14:textId="29898F6B" w:rsidR="00237479" w:rsidRPr="00237479" w:rsidRDefault="00237479" w:rsidP="00237479">
      <w:pPr>
        <w:jc w:val="center"/>
        <w:rPr>
          <w:sz w:val="28"/>
          <w:szCs w:val="28"/>
        </w:rPr>
      </w:pPr>
      <w:bookmarkStart w:id="0" w:name="_Toc158208403"/>
      <w:r>
        <w:rPr>
          <w:rFonts w:hint="eastAsia"/>
          <w:sz w:val="28"/>
          <w:szCs w:val="28"/>
        </w:rPr>
        <w:t>貿易金融デジタル化：</w:t>
      </w:r>
      <w:r w:rsidRPr="00237479">
        <w:rPr>
          <w:rFonts w:hint="eastAsia"/>
          <w:sz w:val="28"/>
          <w:szCs w:val="28"/>
        </w:rPr>
        <w:t>今後の標準化活動計画</w:t>
      </w:r>
      <w:bookmarkEnd w:id="0"/>
    </w:p>
    <w:p w14:paraId="2454B27B" w14:textId="77777777" w:rsidR="00237479" w:rsidRDefault="00237479" w:rsidP="00237479">
      <w:r>
        <w:rPr>
          <w:rFonts w:hint="eastAsia"/>
        </w:rPr>
        <w:t xml:space="preserve">　2023年度は、</w:t>
      </w:r>
      <w:r w:rsidRPr="00F42C15">
        <w:rPr>
          <w:rFonts w:hint="eastAsia"/>
        </w:rPr>
        <w:t>貿易プラットフォームによる</w:t>
      </w:r>
      <w:r>
        <w:rPr>
          <w:rFonts w:hint="eastAsia"/>
        </w:rPr>
        <w:t>国際間</w:t>
      </w:r>
      <w:r w:rsidRPr="00F42C15">
        <w:rPr>
          <w:rFonts w:hint="eastAsia"/>
        </w:rPr>
        <w:t>データ連携</w:t>
      </w:r>
      <w:r>
        <w:rPr>
          <w:rFonts w:hint="eastAsia"/>
        </w:rPr>
        <w:t>のデジタル化</w:t>
      </w:r>
      <w:r w:rsidRPr="00F42C15">
        <w:rPr>
          <w:rFonts w:hint="eastAsia"/>
        </w:rPr>
        <w:t>を</w:t>
      </w:r>
      <w:r>
        <w:rPr>
          <w:rFonts w:hint="eastAsia"/>
        </w:rPr>
        <w:t>進める</w:t>
      </w:r>
      <w:r w:rsidRPr="00F42C15">
        <w:rPr>
          <w:rFonts w:hint="eastAsia"/>
        </w:rPr>
        <w:t>ため、金流</w:t>
      </w:r>
      <w:r>
        <w:rPr>
          <w:rFonts w:hint="eastAsia"/>
        </w:rPr>
        <w:t>・</w:t>
      </w:r>
      <w:r w:rsidRPr="00F42C15">
        <w:rPr>
          <w:rFonts w:hint="eastAsia"/>
        </w:rPr>
        <w:t>商流</w:t>
      </w:r>
      <w:r>
        <w:rPr>
          <w:rFonts w:hint="eastAsia"/>
        </w:rPr>
        <w:t>・</w:t>
      </w:r>
      <w:r w:rsidRPr="00F42C15">
        <w:rPr>
          <w:rFonts w:hint="eastAsia"/>
        </w:rPr>
        <w:t>物流の情報接点となる</w:t>
      </w:r>
      <w:r>
        <w:rPr>
          <w:rFonts w:hint="eastAsia"/>
        </w:rPr>
        <w:t>信用状</w:t>
      </w:r>
      <w:r w:rsidRPr="00F42C15">
        <w:t>等貿易決済（トレードファイナンス）に関わる情報モデル（TF</w:t>
      </w:r>
      <w:r>
        <w:t>F</w:t>
      </w:r>
      <w:r w:rsidRPr="00F42C15">
        <w:t xml:space="preserve">RDM: Trade Finance </w:t>
      </w:r>
      <w:r>
        <w:t xml:space="preserve">Facilitation </w:t>
      </w:r>
      <w:r w:rsidRPr="00F42C15">
        <w:t>Reference Data Model）</w:t>
      </w:r>
      <w:r>
        <w:rPr>
          <w:rFonts w:hint="eastAsia"/>
        </w:rPr>
        <w:t>、及び我が国の商社及び貿易プラットフォーマの業務と整合するデータ要件等を国連C</w:t>
      </w:r>
      <w:r>
        <w:t>EFACT</w:t>
      </w:r>
      <w:r>
        <w:rPr>
          <w:rFonts w:hint="eastAsia"/>
        </w:rPr>
        <w:t>の貿易金融データ交換プロジェクトに提案し、国際貿易手続きに関わる情報交換の世界標準構築に向けた活動を行った。</w:t>
      </w:r>
    </w:p>
    <w:p w14:paraId="604FE81B" w14:textId="77777777" w:rsidR="00237479" w:rsidRDefault="00237479" w:rsidP="00237479">
      <w:r>
        <w:rPr>
          <w:rFonts w:hint="eastAsia"/>
        </w:rPr>
        <w:t xml:space="preserve">　おもな活動成果は次の通りである。</w:t>
      </w:r>
    </w:p>
    <w:p w14:paraId="74884253" w14:textId="77777777" w:rsidR="00237479" w:rsidRPr="00FD4B0C" w:rsidRDefault="00237479" w:rsidP="00237479">
      <w:pPr>
        <w:pStyle w:val="a3"/>
        <w:numPr>
          <w:ilvl w:val="0"/>
          <w:numId w:val="2"/>
        </w:numPr>
        <w:ind w:leftChars="0"/>
      </w:pPr>
      <w:r>
        <w:rPr>
          <w:rFonts w:hint="eastAsia"/>
        </w:rPr>
        <w:t>国際間</w:t>
      </w:r>
      <w:r w:rsidRPr="00F42C15">
        <w:rPr>
          <w:rFonts w:hint="eastAsia"/>
        </w:rPr>
        <w:t>データ連携</w:t>
      </w:r>
      <w:r>
        <w:rPr>
          <w:rFonts w:hint="eastAsia"/>
        </w:rPr>
        <w:t>のデジタル化に必要な業務要件の提言</w:t>
      </w:r>
    </w:p>
    <w:p w14:paraId="2A656749" w14:textId="77777777" w:rsidR="00237479" w:rsidRDefault="00237479" w:rsidP="00237479">
      <w:pPr>
        <w:pStyle w:val="a3"/>
        <w:numPr>
          <w:ilvl w:val="0"/>
          <w:numId w:val="2"/>
        </w:numPr>
        <w:ind w:leftChars="0"/>
      </w:pPr>
      <w:r>
        <w:rPr>
          <w:rFonts w:hint="eastAsia"/>
        </w:rPr>
        <w:t>国連C</w:t>
      </w:r>
      <w:r>
        <w:t>EFACT</w:t>
      </w:r>
      <w:r>
        <w:rPr>
          <w:rFonts w:hint="eastAsia"/>
        </w:rPr>
        <w:t>貿易金融データ交換プロジェクトの推進体制構築</w:t>
      </w:r>
    </w:p>
    <w:p w14:paraId="0F381C30" w14:textId="77777777" w:rsidR="00237479" w:rsidRDefault="00237479" w:rsidP="00237479">
      <w:pPr>
        <w:pStyle w:val="a3"/>
        <w:numPr>
          <w:ilvl w:val="0"/>
          <w:numId w:val="2"/>
        </w:numPr>
        <w:ind w:leftChars="0"/>
      </w:pPr>
      <w:r>
        <w:rPr>
          <w:rFonts w:hint="eastAsia"/>
        </w:rPr>
        <w:t>貿易金融参照データモデルの提案</w:t>
      </w:r>
    </w:p>
    <w:p w14:paraId="769E078B" w14:textId="77777777" w:rsidR="00237479" w:rsidRDefault="00237479" w:rsidP="00237479">
      <w:pPr>
        <w:pStyle w:val="a3"/>
        <w:numPr>
          <w:ilvl w:val="0"/>
          <w:numId w:val="2"/>
        </w:numPr>
        <w:ind w:leftChars="0"/>
      </w:pPr>
      <w:r>
        <w:rPr>
          <w:rFonts w:hint="eastAsia"/>
        </w:rPr>
        <w:t>信用状貿易取引の業務要件定義書の提案</w:t>
      </w:r>
    </w:p>
    <w:p w14:paraId="279462D9" w14:textId="77777777" w:rsidR="00237479" w:rsidRPr="00FD4B0C" w:rsidRDefault="00237479" w:rsidP="00237479">
      <w:pPr>
        <w:pStyle w:val="a3"/>
        <w:numPr>
          <w:ilvl w:val="0"/>
          <w:numId w:val="2"/>
        </w:numPr>
        <w:ind w:leftChars="0"/>
      </w:pPr>
      <w:r>
        <w:rPr>
          <w:rFonts w:hint="eastAsia"/>
        </w:rPr>
        <w:t>我が国貿易関連企業の情報要件の国際標準化提案</w:t>
      </w:r>
    </w:p>
    <w:p w14:paraId="02A0E259" w14:textId="77777777" w:rsidR="00237479" w:rsidRDefault="00237479" w:rsidP="00237479"/>
    <w:p w14:paraId="711816B1" w14:textId="77777777" w:rsidR="00237479" w:rsidRDefault="00237479" w:rsidP="00237479">
      <w:pPr>
        <w:ind w:firstLineChars="100" w:firstLine="210"/>
      </w:pPr>
      <w:r>
        <w:rPr>
          <w:rFonts w:hint="eastAsia"/>
        </w:rPr>
        <w:t>国連C</w:t>
      </w:r>
      <w:r>
        <w:t>EFACT</w:t>
      </w:r>
      <w:r>
        <w:rPr>
          <w:rFonts w:hint="eastAsia"/>
        </w:rPr>
        <w:t>の貿易金融データ交換プロジェクトは、2023年5月から始まり、2024年12月完了を目指して標準仕様の整備が進められている。現時点（2024年2月）は貿易金融に関わる標準仕様整備の道半ばにある。また、標準仕様が整備されても、それが現場で使われて初めて貿易デジタル化の推進に役立つこととなる。よって、国際標準の仕様整備とともに、それらの実証を含む国際レベルの普及啓発にも力を注ぐ必要があろう。</w:t>
      </w:r>
    </w:p>
    <w:p w14:paraId="442B8481" w14:textId="77777777" w:rsidR="00237479" w:rsidRDefault="00237479" w:rsidP="00237479"/>
    <w:p w14:paraId="5487318A" w14:textId="77777777" w:rsidR="00237479" w:rsidRPr="00AD38A7" w:rsidRDefault="00237479" w:rsidP="00237479">
      <w:pPr>
        <w:rPr>
          <w:b/>
          <w:bCs/>
        </w:rPr>
      </w:pPr>
      <w:r w:rsidRPr="00AD38A7">
        <w:rPr>
          <w:rFonts w:hint="eastAsia"/>
          <w:b/>
          <w:bCs/>
        </w:rPr>
        <w:t>＜貿易金融デジタル化国際標準仕様の整備の提案＞</w:t>
      </w:r>
    </w:p>
    <w:p w14:paraId="61844B74" w14:textId="77777777" w:rsidR="00237479" w:rsidRDefault="00237479" w:rsidP="00237479">
      <w:pPr>
        <w:pStyle w:val="a3"/>
        <w:ind w:leftChars="0" w:left="420"/>
      </w:pPr>
      <w:r>
        <w:rPr>
          <w:rFonts w:hint="eastAsia"/>
        </w:rPr>
        <w:t>2023年5月に始まった国連C</w:t>
      </w:r>
      <w:r>
        <w:t>EFACT</w:t>
      </w:r>
      <w:r>
        <w:rPr>
          <w:rFonts w:hint="eastAsia"/>
        </w:rPr>
        <w:t>貿易金融データ交換プロジェクトを通じて、2023年度の成果を踏まえて我が国からの要望を盛り込んだ、国際貿易デジタル化に必要な国際標準仕様の整備を行う。</w:t>
      </w:r>
    </w:p>
    <w:p w14:paraId="2B4F968E" w14:textId="77777777" w:rsidR="00237479" w:rsidRDefault="00237479" w:rsidP="00237479">
      <w:r>
        <w:rPr>
          <w:rFonts w:hint="eastAsia"/>
        </w:rPr>
        <w:t>１．2023年仕掛かり中の標準仕様の完成と公開</w:t>
      </w:r>
    </w:p>
    <w:p w14:paraId="274F9144" w14:textId="77777777" w:rsidR="00237479" w:rsidRDefault="00237479" w:rsidP="00237479">
      <w:r>
        <w:rPr>
          <w:rFonts w:hint="eastAsia"/>
        </w:rPr>
        <w:t>（１）信用状発行プロセス</w:t>
      </w:r>
    </w:p>
    <w:p w14:paraId="3284A2B7" w14:textId="77777777" w:rsidR="00237479" w:rsidRDefault="00237479" w:rsidP="00237479">
      <w:pPr>
        <w:pStyle w:val="a3"/>
        <w:ind w:leftChars="0" w:left="420"/>
      </w:pPr>
      <w:r>
        <w:rPr>
          <w:rFonts w:hint="eastAsia"/>
        </w:rPr>
        <w:t>2023年度に策定した信用状（信用状発行プロセス）業務要件定義の公開レビューを行い、国連C</w:t>
      </w:r>
      <w:r>
        <w:t>EFACT</w:t>
      </w:r>
      <w:r>
        <w:rPr>
          <w:rFonts w:hint="eastAsia"/>
        </w:rPr>
        <w:t>標準として発行する。</w:t>
      </w:r>
    </w:p>
    <w:p w14:paraId="2563051F" w14:textId="77777777" w:rsidR="00237479" w:rsidRDefault="00237479" w:rsidP="00237479">
      <w:r>
        <w:rPr>
          <w:rFonts w:hint="eastAsia"/>
        </w:rPr>
        <w:t>（２）信用情報発行情報モデル</w:t>
      </w:r>
    </w:p>
    <w:p w14:paraId="62C84A68" w14:textId="77777777" w:rsidR="00237479" w:rsidRDefault="00237479" w:rsidP="00237479">
      <w:r>
        <w:rPr>
          <w:rFonts w:hint="eastAsia"/>
        </w:rPr>
        <w:t xml:space="preserve">　　信用状発行プロセスで使われる標準データ項目を提案し、国連C</w:t>
      </w:r>
      <w:r>
        <w:t>EFACT</w:t>
      </w:r>
      <w:r>
        <w:rPr>
          <w:rFonts w:hint="eastAsia"/>
        </w:rPr>
        <w:t>共通辞書（C</w:t>
      </w:r>
      <w:r>
        <w:t>CL</w:t>
      </w:r>
      <w:r>
        <w:rPr>
          <w:rFonts w:hint="eastAsia"/>
        </w:rPr>
        <w:t>）</w:t>
      </w:r>
    </w:p>
    <w:p w14:paraId="38DB50F2" w14:textId="77777777" w:rsidR="00237479" w:rsidRDefault="00237479" w:rsidP="00237479">
      <w:pPr>
        <w:ind w:firstLineChars="200" w:firstLine="420"/>
      </w:pPr>
      <w:r>
        <w:rPr>
          <w:rFonts w:hint="eastAsia"/>
        </w:rPr>
        <w:t>に反映し発行する。</w:t>
      </w:r>
    </w:p>
    <w:p w14:paraId="50BD3399" w14:textId="77777777" w:rsidR="00237479" w:rsidRDefault="00237479" w:rsidP="00237479">
      <w:r>
        <w:rPr>
          <w:rFonts w:hint="eastAsia"/>
        </w:rPr>
        <w:t>（３）貿易関係商流情報モデル</w:t>
      </w:r>
    </w:p>
    <w:p w14:paraId="05714CB4" w14:textId="77777777" w:rsidR="00237479" w:rsidRDefault="00237479" w:rsidP="00237479">
      <w:pPr>
        <w:pStyle w:val="a3"/>
        <w:ind w:leftChars="0" w:left="420"/>
      </w:pPr>
      <w:r>
        <w:rPr>
          <w:rFonts w:hint="eastAsia"/>
        </w:rPr>
        <w:t>我が国の商社／貿易プラットフォーマからの要望を取り込んだ、売買契約及びインボイスで使われる追加のデータ項目を提案し、国連C</w:t>
      </w:r>
      <w:r>
        <w:t>EFACT</w:t>
      </w:r>
      <w:r>
        <w:rPr>
          <w:rFonts w:hint="eastAsia"/>
        </w:rPr>
        <w:t>共通辞書（C</w:t>
      </w:r>
      <w:r>
        <w:t>CL</w:t>
      </w:r>
      <w:r>
        <w:rPr>
          <w:rFonts w:hint="eastAsia"/>
        </w:rPr>
        <w:t>）に反映し発行する。</w:t>
      </w:r>
    </w:p>
    <w:p w14:paraId="669839E1" w14:textId="77777777" w:rsidR="00237479" w:rsidRDefault="00237479" w:rsidP="00237479">
      <w:r>
        <w:rPr>
          <w:rFonts w:hint="eastAsia"/>
        </w:rPr>
        <w:lastRenderedPageBreak/>
        <w:t>２．　2024年新規に提案する標準仕様の策定と公開</w:t>
      </w:r>
    </w:p>
    <w:p w14:paraId="78F1582F" w14:textId="77777777" w:rsidR="00237479" w:rsidRDefault="00237479" w:rsidP="00237479">
      <w:r>
        <w:rPr>
          <w:rFonts w:hint="eastAsia"/>
        </w:rPr>
        <w:t xml:space="preserve">　（１）海上貨物保険プロセス</w:t>
      </w:r>
    </w:p>
    <w:p w14:paraId="5DD0EF0B" w14:textId="77777777" w:rsidR="00237479" w:rsidRDefault="00237479" w:rsidP="00237479">
      <w:pPr>
        <w:ind w:leftChars="200" w:left="630" w:hangingChars="100" w:hanging="210"/>
      </w:pPr>
      <w:r>
        <w:tab/>
      </w:r>
      <w:r>
        <w:rPr>
          <w:rFonts w:hint="eastAsia"/>
        </w:rPr>
        <w:t>2023年度提案した業務範囲に基づき、海上貨物保険プロセスの業務要件仕様を策定し、内部評価と公開レビューを経て国連C</w:t>
      </w:r>
      <w:r>
        <w:t>EFACT</w:t>
      </w:r>
      <w:r>
        <w:rPr>
          <w:rFonts w:hint="eastAsia"/>
        </w:rPr>
        <w:t>標準として公開する。</w:t>
      </w:r>
    </w:p>
    <w:p w14:paraId="336F6F75" w14:textId="77777777" w:rsidR="00237479" w:rsidRDefault="00237479" w:rsidP="00237479">
      <w:r>
        <w:rPr>
          <w:rFonts w:hint="eastAsia"/>
        </w:rPr>
        <w:t xml:space="preserve">　（２）保険情報モデル</w:t>
      </w:r>
    </w:p>
    <w:p w14:paraId="5513BC03" w14:textId="77777777" w:rsidR="00237479" w:rsidRDefault="00237479" w:rsidP="00237479">
      <w:pPr>
        <w:ind w:leftChars="300" w:left="630"/>
      </w:pPr>
      <w:r>
        <w:rPr>
          <w:rFonts w:hint="eastAsia"/>
        </w:rPr>
        <w:t>海上貨物保険プロセスで使われる標準データ項目を提案し、国連C</w:t>
      </w:r>
      <w:r>
        <w:t>EFACT</w:t>
      </w:r>
      <w:r>
        <w:rPr>
          <w:rFonts w:hint="eastAsia"/>
        </w:rPr>
        <w:t>共通辞書（C</w:t>
      </w:r>
      <w:r>
        <w:t>CL</w:t>
      </w:r>
      <w:r>
        <w:rPr>
          <w:rFonts w:hint="eastAsia"/>
        </w:rPr>
        <w:t>）に反映し発行する。</w:t>
      </w:r>
    </w:p>
    <w:p w14:paraId="71209721" w14:textId="77777777" w:rsidR="00237479" w:rsidRDefault="00237479" w:rsidP="00237479">
      <w:r>
        <w:rPr>
          <w:rFonts w:hint="eastAsia"/>
        </w:rPr>
        <w:t xml:space="preserve">　（３）信用状決済プロセス</w:t>
      </w:r>
    </w:p>
    <w:p w14:paraId="0A52B73D" w14:textId="77777777" w:rsidR="00237479" w:rsidRDefault="00237479" w:rsidP="00237479">
      <w:r>
        <w:tab/>
      </w:r>
      <w:r>
        <w:rPr>
          <w:rFonts w:hint="eastAsia"/>
        </w:rPr>
        <w:t>信用状に基づく決済及び支払いプロセスにつき、現状と標準化対象範囲を調査し、</w:t>
      </w:r>
    </w:p>
    <w:p w14:paraId="224C6884" w14:textId="77777777" w:rsidR="00237479" w:rsidRDefault="00237479" w:rsidP="00237479">
      <w:pPr>
        <w:ind w:firstLineChars="400" w:firstLine="840"/>
      </w:pPr>
      <w:r>
        <w:rPr>
          <w:rFonts w:hint="eastAsia"/>
        </w:rPr>
        <w:t>信用状決済プロセスの業務要件仕様を策定し、内部評価と公開レビューを経て国</w:t>
      </w:r>
    </w:p>
    <w:p w14:paraId="6852631F" w14:textId="77777777" w:rsidR="00237479" w:rsidRDefault="00237479" w:rsidP="00237479">
      <w:pPr>
        <w:ind w:firstLineChars="400" w:firstLine="840"/>
      </w:pPr>
      <w:r>
        <w:rPr>
          <w:rFonts w:hint="eastAsia"/>
        </w:rPr>
        <w:t>連C</w:t>
      </w:r>
      <w:r>
        <w:t>EFACT</w:t>
      </w:r>
      <w:r>
        <w:rPr>
          <w:rFonts w:hint="eastAsia"/>
        </w:rPr>
        <w:t>標準として公開する。</w:t>
      </w:r>
    </w:p>
    <w:p w14:paraId="3BB18DEE" w14:textId="77777777" w:rsidR="00237479" w:rsidRDefault="00237479" w:rsidP="00237479">
      <w:r>
        <w:rPr>
          <w:rFonts w:hint="eastAsia"/>
        </w:rPr>
        <w:t xml:space="preserve">　（４）貿易金融参照データモデル</w:t>
      </w:r>
    </w:p>
    <w:p w14:paraId="259EABFE" w14:textId="77777777" w:rsidR="00237479" w:rsidRDefault="00237479" w:rsidP="00237479">
      <w:r>
        <w:rPr>
          <w:rFonts w:hint="eastAsia"/>
        </w:rPr>
        <w:t xml:space="preserve">　　　　信用状発行及び決済プロセスに関わるデータ項目と海上貨物保険プロセスに関わ</w:t>
      </w:r>
    </w:p>
    <w:p w14:paraId="53390285" w14:textId="77777777" w:rsidR="00237479" w:rsidRDefault="00237479" w:rsidP="00237479">
      <w:pPr>
        <w:ind w:firstLineChars="400" w:firstLine="840"/>
      </w:pPr>
      <w:r>
        <w:rPr>
          <w:rFonts w:hint="eastAsia"/>
        </w:rPr>
        <w:t>るデータ項目を包含する貿易金融参照データモデルの業務要件仕様を策定し、内</w:t>
      </w:r>
    </w:p>
    <w:p w14:paraId="4D227A96" w14:textId="77777777" w:rsidR="00237479" w:rsidRDefault="00237479" w:rsidP="00237479">
      <w:pPr>
        <w:ind w:firstLineChars="400" w:firstLine="840"/>
      </w:pPr>
      <w:r>
        <w:rPr>
          <w:rFonts w:hint="eastAsia"/>
        </w:rPr>
        <w:t>部評価と公開レビューを経て国連C</w:t>
      </w:r>
      <w:r>
        <w:t>EFACT</w:t>
      </w:r>
      <w:r>
        <w:rPr>
          <w:rFonts w:hint="eastAsia"/>
        </w:rPr>
        <w:t>標準として公開する。</w:t>
      </w:r>
    </w:p>
    <w:p w14:paraId="3EC5B744" w14:textId="77777777" w:rsidR="00237479" w:rsidRDefault="00237479" w:rsidP="00237479">
      <w:r>
        <w:rPr>
          <w:rFonts w:hint="eastAsia"/>
        </w:rPr>
        <w:t>３．　国連C</w:t>
      </w:r>
      <w:r>
        <w:t>EFACT</w:t>
      </w:r>
      <w:r>
        <w:rPr>
          <w:rFonts w:hint="eastAsia"/>
        </w:rPr>
        <w:t>貿易金融データ交換プロジェクトの推進</w:t>
      </w:r>
    </w:p>
    <w:p w14:paraId="42147F53" w14:textId="77777777" w:rsidR="00237479" w:rsidRDefault="00237479" w:rsidP="00237479">
      <w:r>
        <w:rPr>
          <w:rFonts w:hint="eastAsia"/>
        </w:rPr>
        <w:t xml:space="preserve">　（１）運輸物流分野の標準化への参画</w:t>
      </w:r>
    </w:p>
    <w:p w14:paraId="276561E7" w14:textId="77777777" w:rsidR="00237479" w:rsidRDefault="00237479" w:rsidP="00237479">
      <w:r>
        <w:tab/>
      </w:r>
      <w:r>
        <w:rPr>
          <w:rFonts w:hint="eastAsia"/>
        </w:rPr>
        <w:t>パッキングリストの標準化見直し、及び電子船荷証券の標準策定にプロジェクト</w:t>
      </w:r>
    </w:p>
    <w:p w14:paraId="7769B115" w14:textId="77777777" w:rsidR="00237479" w:rsidRDefault="00237479" w:rsidP="00237479">
      <w:pPr>
        <w:ind w:firstLineChars="400" w:firstLine="840"/>
      </w:pPr>
      <w:r>
        <w:rPr>
          <w:rFonts w:hint="eastAsia"/>
        </w:rPr>
        <w:t>メンバーとして参加し、2022年度に行った我が国のマッピング調査結果を基に必</w:t>
      </w:r>
    </w:p>
    <w:p w14:paraId="2CBB6E7D" w14:textId="77777777" w:rsidR="00237479" w:rsidRDefault="00237479" w:rsidP="00237479">
      <w:pPr>
        <w:ind w:firstLineChars="400" w:firstLine="840"/>
      </w:pPr>
      <w:r>
        <w:rPr>
          <w:rFonts w:hint="eastAsia"/>
        </w:rPr>
        <w:t>要な要望を国連C</w:t>
      </w:r>
      <w:r>
        <w:t>EFACT</w:t>
      </w:r>
      <w:r>
        <w:rPr>
          <w:rFonts w:hint="eastAsia"/>
        </w:rPr>
        <w:t>標準に反映する。</w:t>
      </w:r>
    </w:p>
    <w:p w14:paraId="2D8A6EA1" w14:textId="77777777" w:rsidR="00237479" w:rsidRPr="004D3B31" w:rsidRDefault="00237479" w:rsidP="00237479">
      <w:r>
        <w:rPr>
          <w:rFonts w:hint="eastAsia"/>
        </w:rPr>
        <w:t xml:space="preserve">　（２）原産地証明プロセスのデジタル化への参画</w:t>
      </w:r>
    </w:p>
    <w:p w14:paraId="32C2D953" w14:textId="77777777" w:rsidR="00237479" w:rsidRDefault="00237479" w:rsidP="00237479">
      <w:r>
        <w:tab/>
      </w:r>
      <w:r>
        <w:rPr>
          <w:rFonts w:hint="eastAsia"/>
        </w:rPr>
        <w:t>プロジェクトチームから提案される原産地証明に関わる業務要件定義及び情報モ</w:t>
      </w:r>
    </w:p>
    <w:p w14:paraId="78181FE3" w14:textId="77777777" w:rsidR="00237479" w:rsidRDefault="00237479" w:rsidP="00237479">
      <w:pPr>
        <w:ind w:firstLineChars="400" w:firstLine="840"/>
      </w:pPr>
      <w:r>
        <w:rPr>
          <w:rFonts w:hint="eastAsia"/>
        </w:rPr>
        <w:t>デルをレビューし、我が国への影響を調査して適切な提言を行う。</w:t>
      </w:r>
    </w:p>
    <w:p w14:paraId="508C4665" w14:textId="77777777" w:rsidR="00237479" w:rsidRDefault="00237479" w:rsidP="00237479"/>
    <w:p w14:paraId="30755F25" w14:textId="77777777" w:rsidR="00237479" w:rsidRDefault="00237479" w:rsidP="00237479">
      <w:r>
        <w:rPr>
          <w:rFonts w:hint="eastAsia"/>
        </w:rPr>
        <w:t>＜プロジェクト進捗計画＞</w:t>
      </w:r>
    </w:p>
    <w:p w14:paraId="21CFC8BD" w14:textId="77777777" w:rsidR="00237479" w:rsidRDefault="00237479" w:rsidP="00237479">
      <w:r w:rsidRPr="0009521E">
        <w:rPr>
          <w:rFonts w:hint="eastAsia"/>
          <w:noProof/>
        </w:rPr>
        <w:drawing>
          <wp:inline distT="0" distB="0" distL="0" distR="0" wp14:anchorId="6B9416B1" wp14:editId="2B37748C">
            <wp:extent cx="5400040" cy="2439035"/>
            <wp:effectExtent l="0" t="0" r="0" b="0"/>
            <wp:docPr id="209635309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2439035"/>
                    </a:xfrm>
                    <a:prstGeom prst="rect">
                      <a:avLst/>
                    </a:prstGeom>
                    <a:noFill/>
                    <a:ln>
                      <a:noFill/>
                    </a:ln>
                  </pic:spPr>
                </pic:pic>
              </a:graphicData>
            </a:graphic>
          </wp:inline>
        </w:drawing>
      </w:r>
    </w:p>
    <w:p w14:paraId="3B54BA46" w14:textId="77777777" w:rsidR="00237479" w:rsidRPr="00AD38A7" w:rsidRDefault="00237479" w:rsidP="00237479">
      <w:pPr>
        <w:rPr>
          <w:b/>
          <w:bCs/>
        </w:rPr>
      </w:pPr>
      <w:r w:rsidRPr="00AD38A7">
        <w:rPr>
          <w:rFonts w:hint="eastAsia"/>
          <w:b/>
          <w:bCs/>
        </w:rPr>
        <w:lastRenderedPageBreak/>
        <w:t>＜</w:t>
      </w:r>
      <w:r w:rsidRPr="00AD38A7">
        <w:rPr>
          <w:b/>
          <w:bCs/>
        </w:rPr>
        <w:t>貿易金融デジタル化国際標準の普及啓発の</w:t>
      </w:r>
      <w:r w:rsidRPr="00AD38A7">
        <w:rPr>
          <w:rFonts w:hint="eastAsia"/>
          <w:b/>
          <w:bCs/>
        </w:rPr>
        <w:t>提言＞</w:t>
      </w:r>
    </w:p>
    <w:p w14:paraId="3C7AF170" w14:textId="77777777" w:rsidR="00237479" w:rsidRDefault="00237479" w:rsidP="00237479">
      <w:pPr>
        <w:ind w:firstLineChars="100" w:firstLine="210"/>
      </w:pPr>
      <w:r>
        <w:rPr>
          <w:rFonts w:hint="eastAsia"/>
        </w:rPr>
        <w:t>標準仕様が整備されても、それが現場で使われて初めて貿易デジタル化の推進に役立つこととなる。よって、国際標準の仕様整備とともに、それらの実証を含む国際レベルの普及啓発にも力を注ぐ必要があろう。</w:t>
      </w:r>
    </w:p>
    <w:p w14:paraId="538D1FA4" w14:textId="77777777" w:rsidR="00237479" w:rsidRDefault="00237479" w:rsidP="00237479">
      <w:pPr>
        <w:pStyle w:val="a3"/>
        <w:numPr>
          <w:ilvl w:val="0"/>
          <w:numId w:val="3"/>
        </w:numPr>
        <w:ind w:leftChars="0"/>
      </w:pPr>
      <w:r>
        <w:rPr>
          <w:rFonts w:hint="eastAsia"/>
        </w:rPr>
        <w:t>国連C</w:t>
      </w:r>
      <w:r>
        <w:t>EFACT</w:t>
      </w:r>
      <w:r>
        <w:rPr>
          <w:rFonts w:hint="eastAsia"/>
        </w:rPr>
        <w:t>貿易金融デジタル化標準の普及</w:t>
      </w:r>
    </w:p>
    <w:p w14:paraId="6803BB21" w14:textId="77777777" w:rsidR="00237479" w:rsidRDefault="00237479" w:rsidP="00237479">
      <w:pPr>
        <w:pStyle w:val="a3"/>
        <w:ind w:leftChars="0" w:left="360"/>
      </w:pPr>
      <w:r>
        <w:rPr>
          <w:rFonts w:hint="eastAsia"/>
        </w:rPr>
        <w:t>2023年</w:t>
      </w:r>
      <w:r>
        <w:t xml:space="preserve"> – 2024</w:t>
      </w:r>
      <w:r>
        <w:rPr>
          <w:rFonts w:hint="eastAsia"/>
        </w:rPr>
        <w:t>年に進められている国連C</w:t>
      </w:r>
      <w:r>
        <w:t>EFACT</w:t>
      </w:r>
      <w:r w:rsidRPr="0016295E">
        <w:rPr>
          <w:rFonts w:hint="eastAsia"/>
        </w:rPr>
        <w:t>貿易金融データ交換プロジェクト</w:t>
      </w:r>
      <w:r>
        <w:rPr>
          <w:rFonts w:hint="eastAsia"/>
        </w:rPr>
        <w:t>では、貿易金融に関わる多岐にわたるプロセスと文書が対象とされたが、貿易実務に関わる全ての文書が検討されたわけではない。既にデジタル化のために標準化されている貿易関連文書も数多い。</w:t>
      </w:r>
    </w:p>
    <w:p w14:paraId="722ED80C" w14:textId="77777777" w:rsidR="00237479" w:rsidRDefault="00237479" w:rsidP="00237479">
      <w:pPr>
        <w:pStyle w:val="a3"/>
        <w:ind w:leftChars="0" w:left="360"/>
      </w:pPr>
      <w:r>
        <w:rPr>
          <w:rFonts w:hint="eastAsia"/>
        </w:rPr>
        <w:t>それら標準化されたデジタル文書とその取扱いにつき、国内の貿易関連企業（商社、金融、物流、保険等）に周知し、デジタル文書をI</w:t>
      </w:r>
      <w:r>
        <w:t>T</w:t>
      </w:r>
      <w:r>
        <w:rPr>
          <w:rFonts w:hint="eastAsia"/>
        </w:rPr>
        <w:t>システムで取り扱うプラットフォーマやパッケージベンダーおよびシステム構築を担うS</w:t>
      </w:r>
      <w:r>
        <w:t>I</w:t>
      </w:r>
      <w:r>
        <w:rPr>
          <w:rFonts w:hint="eastAsia"/>
        </w:rPr>
        <w:t>e</w:t>
      </w:r>
      <w:r>
        <w:t>r</w:t>
      </w:r>
      <w:r>
        <w:rPr>
          <w:rFonts w:hint="eastAsia"/>
        </w:rPr>
        <w:t>の</w:t>
      </w:r>
      <w:r>
        <w:t>IT</w:t>
      </w:r>
      <w:r>
        <w:rPr>
          <w:rFonts w:hint="eastAsia"/>
        </w:rPr>
        <w:t>エンジニアの方々の技術力の向上も必要である。</w:t>
      </w:r>
    </w:p>
    <w:p w14:paraId="0A233641" w14:textId="77777777" w:rsidR="00237479" w:rsidRDefault="00237479" w:rsidP="00237479">
      <w:pPr>
        <w:pStyle w:val="a3"/>
        <w:ind w:leftChars="0" w:left="360"/>
      </w:pPr>
      <w:r>
        <w:rPr>
          <w:rFonts w:hint="eastAsia"/>
        </w:rPr>
        <w:t>そのため、普及啓発と技術向上のために以下の活動が必須と考えられる。</w:t>
      </w:r>
    </w:p>
    <w:p w14:paraId="03E512B1" w14:textId="77777777" w:rsidR="00237479" w:rsidRDefault="00237479" w:rsidP="00237479">
      <w:pPr>
        <w:pStyle w:val="a3"/>
        <w:numPr>
          <w:ilvl w:val="0"/>
          <w:numId w:val="4"/>
        </w:numPr>
        <w:ind w:leftChars="0"/>
      </w:pPr>
      <w:r>
        <w:rPr>
          <w:rFonts w:hint="eastAsia"/>
        </w:rPr>
        <w:t>貿易デジタル化のためのガイドブックの整備</w:t>
      </w:r>
    </w:p>
    <w:p w14:paraId="060AB0D3" w14:textId="77777777" w:rsidR="00237479" w:rsidRDefault="00237479" w:rsidP="00237479">
      <w:pPr>
        <w:pStyle w:val="a3"/>
        <w:numPr>
          <w:ilvl w:val="0"/>
          <w:numId w:val="4"/>
        </w:numPr>
        <w:ind w:leftChars="0"/>
      </w:pPr>
      <w:r>
        <w:rPr>
          <w:rFonts w:hint="eastAsia"/>
        </w:rPr>
        <w:t>国連C</w:t>
      </w:r>
      <w:r>
        <w:t>EFACT</w:t>
      </w:r>
      <w:r>
        <w:rPr>
          <w:rFonts w:hint="eastAsia"/>
        </w:rPr>
        <w:t>等貿易デジタル化推進機関の動向の周知</w:t>
      </w:r>
    </w:p>
    <w:p w14:paraId="632E3BAF" w14:textId="77777777" w:rsidR="00237479" w:rsidRDefault="00237479" w:rsidP="00237479">
      <w:pPr>
        <w:pStyle w:val="a3"/>
        <w:numPr>
          <w:ilvl w:val="0"/>
          <w:numId w:val="4"/>
        </w:numPr>
        <w:ind w:leftChars="0"/>
      </w:pPr>
      <w:r>
        <w:rPr>
          <w:rFonts w:hint="eastAsia"/>
        </w:rPr>
        <w:t>貿易デジタル化普及セミナ（ユーザー向け）の開催</w:t>
      </w:r>
    </w:p>
    <w:p w14:paraId="7FB488C7" w14:textId="77777777" w:rsidR="00237479" w:rsidRDefault="00237479" w:rsidP="00237479">
      <w:pPr>
        <w:pStyle w:val="a3"/>
        <w:numPr>
          <w:ilvl w:val="0"/>
          <w:numId w:val="4"/>
        </w:numPr>
        <w:ind w:leftChars="0"/>
      </w:pPr>
      <w:r>
        <w:rPr>
          <w:rFonts w:hint="eastAsia"/>
        </w:rPr>
        <w:t>貿易デジタル化技術研修（I</w:t>
      </w:r>
      <w:r>
        <w:t>T</w:t>
      </w:r>
      <w:r>
        <w:rPr>
          <w:rFonts w:hint="eastAsia"/>
        </w:rPr>
        <w:t>技術者向け）</w:t>
      </w:r>
    </w:p>
    <w:p w14:paraId="4BF04330" w14:textId="77777777" w:rsidR="00237479" w:rsidRPr="00CD28DF" w:rsidRDefault="00237479" w:rsidP="00237479">
      <w:pPr>
        <w:ind w:left="360"/>
      </w:pPr>
      <w:r>
        <w:rPr>
          <w:rFonts w:hint="eastAsia"/>
        </w:rPr>
        <w:t>なお、普及啓発と技術向上は目標を定め、その浸透具合をモニタリングする必要がある。浸透度をセミナや研修会参加者（社）数で捉えることは最低限必要であるが、認定または登録などで技術者を確保することも一法であろう。</w:t>
      </w:r>
    </w:p>
    <w:p w14:paraId="5B4E5CE1" w14:textId="77777777" w:rsidR="00237479" w:rsidRDefault="00237479" w:rsidP="00237479">
      <w:pPr>
        <w:pStyle w:val="a3"/>
        <w:numPr>
          <w:ilvl w:val="0"/>
          <w:numId w:val="3"/>
        </w:numPr>
        <w:ind w:leftChars="0"/>
      </w:pPr>
      <w:r>
        <w:rPr>
          <w:rFonts w:hint="eastAsia"/>
        </w:rPr>
        <w:t>海外ユーザーを含む貿易金融デジタル化の実証</w:t>
      </w:r>
    </w:p>
    <w:p w14:paraId="684E18C6" w14:textId="77777777" w:rsidR="00237479" w:rsidRDefault="00237479" w:rsidP="00237479">
      <w:pPr>
        <w:pStyle w:val="a3"/>
        <w:ind w:leftChars="0" w:left="360"/>
      </w:pPr>
      <w:r>
        <w:rPr>
          <w:rFonts w:hint="eastAsia"/>
        </w:rPr>
        <w:t>貿易は一国で行うものではない。貿易デジタル化においては、取引相手国と法制度や標準につき調整を必要とする。もちろん、取引企業ごとにそれらの調整を行うのは非効率であり、共通の貿易プラットフォーム経由またはプラットフォーム間相互接続によって進めることが望ましい。また、相手国との法制度に関わる調整は政府による事前合意を必要とするものもあろう。</w:t>
      </w:r>
    </w:p>
    <w:p w14:paraId="1719597F" w14:textId="77777777" w:rsidR="00237479" w:rsidRDefault="00237479" w:rsidP="00237479">
      <w:pPr>
        <w:pStyle w:val="a3"/>
        <w:ind w:leftChars="0" w:left="360"/>
      </w:pPr>
      <w:r>
        <w:rPr>
          <w:rFonts w:hint="eastAsia"/>
        </w:rPr>
        <w:t>輸出入両社が、貿易手続きを新たな貿易デジタルの仕組みで実施することは容易なことではなく、それを解決してくれるのが貿易プラットフォームであろう。</w:t>
      </w:r>
    </w:p>
    <w:p w14:paraId="428B1063" w14:textId="77777777" w:rsidR="00237479" w:rsidRDefault="00237479" w:rsidP="00237479">
      <w:pPr>
        <w:pStyle w:val="a3"/>
        <w:ind w:leftChars="0" w:left="360"/>
      </w:pPr>
      <w:r>
        <w:rPr>
          <w:rFonts w:hint="eastAsia"/>
        </w:rPr>
        <w:t>そのため、貿易プラットフォーム経由の貿易デジタル化推進のため、以下の活動が有効と考えられる。</w:t>
      </w:r>
    </w:p>
    <w:p w14:paraId="6C008918" w14:textId="77777777" w:rsidR="00237479" w:rsidRDefault="00237479" w:rsidP="00237479">
      <w:pPr>
        <w:pStyle w:val="a3"/>
        <w:numPr>
          <w:ilvl w:val="0"/>
          <w:numId w:val="5"/>
        </w:numPr>
        <w:ind w:leftChars="0"/>
      </w:pPr>
      <w:r>
        <w:rPr>
          <w:rFonts w:hint="eastAsia"/>
        </w:rPr>
        <w:t>デジタル貿易相手国の選定と包括的合意</w:t>
      </w:r>
    </w:p>
    <w:p w14:paraId="6B984378" w14:textId="77777777" w:rsidR="00237479" w:rsidRDefault="00237479" w:rsidP="00237479">
      <w:pPr>
        <w:pStyle w:val="a3"/>
        <w:numPr>
          <w:ilvl w:val="0"/>
          <w:numId w:val="5"/>
        </w:numPr>
        <w:ind w:leftChars="0"/>
      </w:pPr>
      <w:r>
        <w:rPr>
          <w:rFonts w:hint="eastAsia"/>
        </w:rPr>
        <w:t>貿易相手国の貿易関連企業への普及啓発</w:t>
      </w:r>
    </w:p>
    <w:p w14:paraId="4B614635" w14:textId="77777777" w:rsidR="00237479" w:rsidRDefault="00237479" w:rsidP="00237479">
      <w:pPr>
        <w:pStyle w:val="a3"/>
        <w:numPr>
          <w:ilvl w:val="0"/>
          <w:numId w:val="5"/>
        </w:numPr>
        <w:ind w:leftChars="0"/>
      </w:pPr>
      <w:r>
        <w:rPr>
          <w:rFonts w:hint="eastAsia"/>
        </w:rPr>
        <w:t>貿易プラットフォーマ間の合意</w:t>
      </w:r>
    </w:p>
    <w:p w14:paraId="6DCF4395" w14:textId="77777777" w:rsidR="00237479" w:rsidRDefault="00237479" w:rsidP="00237479">
      <w:pPr>
        <w:pStyle w:val="a3"/>
        <w:numPr>
          <w:ilvl w:val="0"/>
          <w:numId w:val="5"/>
        </w:numPr>
        <w:ind w:leftChars="0"/>
      </w:pPr>
      <w:r>
        <w:rPr>
          <w:rFonts w:hint="eastAsia"/>
        </w:rPr>
        <w:t>国際間デジタル貿易の実証</w:t>
      </w:r>
    </w:p>
    <w:p w14:paraId="43608D49" w14:textId="77777777" w:rsidR="00237479" w:rsidRDefault="00237479" w:rsidP="00237479">
      <w:pPr>
        <w:pStyle w:val="a3"/>
        <w:numPr>
          <w:ilvl w:val="0"/>
          <w:numId w:val="3"/>
        </w:numPr>
        <w:ind w:leftChars="0"/>
      </w:pPr>
      <w:r>
        <w:rPr>
          <w:rFonts w:hint="eastAsia"/>
        </w:rPr>
        <w:t>普及促進の目標及び進捗の数値化</w:t>
      </w:r>
    </w:p>
    <w:p w14:paraId="6A19018F" w14:textId="77777777" w:rsidR="00237479" w:rsidRDefault="00237479" w:rsidP="00237479">
      <w:pPr>
        <w:pStyle w:val="a3"/>
        <w:ind w:leftChars="0" w:left="360"/>
      </w:pPr>
      <w:r>
        <w:rPr>
          <w:rFonts w:hint="eastAsia"/>
        </w:rPr>
        <w:lastRenderedPageBreak/>
        <w:t>費用を投入して実施する事業において、目標及び進捗度を数値化する計測メカニズムは必須である。</w:t>
      </w:r>
    </w:p>
    <w:p w14:paraId="5C5DB532" w14:textId="77777777" w:rsidR="00237479" w:rsidRDefault="00237479" w:rsidP="00237479">
      <w:pPr>
        <w:pStyle w:val="a3"/>
        <w:ind w:leftChars="0" w:left="360"/>
      </w:pPr>
      <w:r>
        <w:rPr>
          <w:rFonts w:hint="eastAsia"/>
        </w:rPr>
        <w:t>貿易デジタル化の目標及び進捗度計測につき、例えば次のような項目の数値化につき、国内及び世界が納得する仕組みを構築する必要があろう。</w:t>
      </w:r>
    </w:p>
    <w:p w14:paraId="11FD2EBC" w14:textId="77777777" w:rsidR="00237479" w:rsidRDefault="00237479" w:rsidP="00237479">
      <w:pPr>
        <w:pStyle w:val="a3"/>
        <w:numPr>
          <w:ilvl w:val="0"/>
          <w:numId w:val="10"/>
        </w:numPr>
        <w:ind w:leftChars="0"/>
      </w:pPr>
      <w:r>
        <w:rPr>
          <w:rFonts w:hint="eastAsia"/>
        </w:rPr>
        <w:t>貿易デジタル化目標値と計測方法</w:t>
      </w:r>
    </w:p>
    <w:p w14:paraId="38F6A788" w14:textId="77777777" w:rsidR="00237479" w:rsidRDefault="00237479" w:rsidP="00237479">
      <w:pPr>
        <w:pStyle w:val="a3"/>
        <w:numPr>
          <w:ilvl w:val="0"/>
          <w:numId w:val="10"/>
        </w:numPr>
        <w:ind w:leftChars="0"/>
      </w:pPr>
      <w:r>
        <w:rPr>
          <w:rFonts w:hint="eastAsia"/>
        </w:rPr>
        <w:t>貿易デジタル標準化採用目標と計測方法</w:t>
      </w:r>
    </w:p>
    <w:p w14:paraId="6985DFF3" w14:textId="77777777" w:rsidR="00237479" w:rsidRDefault="00237479" w:rsidP="00237479">
      <w:pPr>
        <w:pStyle w:val="a3"/>
        <w:numPr>
          <w:ilvl w:val="0"/>
          <w:numId w:val="10"/>
        </w:numPr>
        <w:ind w:leftChars="0"/>
      </w:pPr>
      <w:r>
        <w:rPr>
          <w:rFonts w:hint="eastAsia"/>
        </w:rPr>
        <w:t>貿易デジタル化認知度目標値と計測方法</w:t>
      </w:r>
    </w:p>
    <w:p w14:paraId="4FED5B6C" w14:textId="77777777" w:rsidR="00237479" w:rsidRDefault="00237479" w:rsidP="00237479">
      <w:pPr>
        <w:pStyle w:val="a3"/>
        <w:numPr>
          <w:ilvl w:val="0"/>
          <w:numId w:val="10"/>
        </w:numPr>
        <w:ind w:leftChars="0"/>
      </w:pPr>
      <w:r>
        <w:rPr>
          <w:rFonts w:hint="eastAsia"/>
        </w:rPr>
        <w:t>貿易デジタル化スキルレベルと量の目標値と計測法</w:t>
      </w:r>
    </w:p>
    <w:p w14:paraId="5FD91885" w14:textId="77777777" w:rsidR="00237479" w:rsidRDefault="00237479" w:rsidP="00237479"/>
    <w:p w14:paraId="268EA1CD" w14:textId="77777777" w:rsidR="00237479" w:rsidRPr="00AD38A7" w:rsidRDefault="00237479" w:rsidP="00237479">
      <w:pPr>
        <w:rPr>
          <w:b/>
          <w:bCs/>
        </w:rPr>
      </w:pPr>
      <w:r w:rsidRPr="00AD38A7">
        <w:rPr>
          <w:rFonts w:hint="eastAsia"/>
          <w:b/>
          <w:bCs/>
        </w:rPr>
        <w:t>＜国際貿易</w:t>
      </w:r>
      <w:r>
        <w:rPr>
          <w:rFonts w:hint="eastAsia"/>
          <w:b/>
          <w:bCs/>
        </w:rPr>
        <w:t>デジタル化</w:t>
      </w:r>
      <w:r w:rsidRPr="00AD38A7">
        <w:rPr>
          <w:rFonts w:hint="eastAsia"/>
          <w:b/>
          <w:bCs/>
        </w:rPr>
        <w:t>に関わる将来の課題＞</w:t>
      </w:r>
    </w:p>
    <w:p w14:paraId="48E1F623" w14:textId="77777777" w:rsidR="00237479" w:rsidRDefault="00237479" w:rsidP="00237479">
      <w:pPr>
        <w:pStyle w:val="a3"/>
        <w:widowControl/>
        <w:numPr>
          <w:ilvl w:val="0"/>
          <w:numId w:val="6"/>
        </w:numPr>
        <w:ind w:leftChars="0"/>
        <w:jc w:val="left"/>
      </w:pPr>
      <w:r>
        <w:rPr>
          <w:rFonts w:hint="eastAsia"/>
        </w:rPr>
        <w:t>貿易プラットフォームの技術的課題</w:t>
      </w:r>
    </w:p>
    <w:p w14:paraId="1FAC6D31" w14:textId="77777777" w:rsidR="00237479" w:rsidRDefault="00237479" w:rsidP="00237479">
      <w:pPr>
        <w:pStyle w:val="a3"/>
        <w:widowControl/>
        <w:numPr>
          <w:ilvl w:val="0"/>
          <w:numId w:val="7"/>
        </w:numPr>
        <w:ind w:leftChars="0"/>
        <w:jc w:val="left"/>
      </w:pPr>
      <w:r>
        <w:rPr>
          <w:rFonts w:hint="eastAsia"/>
        </w:rPr>
        <w:t>文書間で共有するデータ：貿易手続きデータにおいては、同じデータが異なる複数の文書で共有される。そのため、貿易プラットフォームでは異なる文書でデータを共有できる仕組みが必要である。しかしながら、貿易においてはデータごとではなく文書単位に契約が履行されるため、プラットフォームからは文書単位に検索ができてそれが取引の証跡になる必要がある。</w:t>
      </w:r>
    </w:p>
    <w:p w14:paraId="34E5A76D" w14:textId="77777777" w:rsidR="00237479" w:rsidRDefault="00237479" w:rsidP="00237479">
      <w:pPr>
        <w:pStyle w:val="a3"/>
        <w:widowControl/>
        <w:numPr>
          <w:ilvl w:val="0"/>
          <w:numId w:val="7"/>
        </w:numPr>
        <w:ind w:leftChars="0"/>
        <w:jc w:val="left"/>
      </w:pPr>
      <w:r>
        <w:rPr>
          <w:rFonts w:hint="eastAsia"/>
        </w:rPr>
        <w:t>文書を参照する文書：貿易文書の多くのものは参照文書を必要とする。例えば、信用状取引におけるインボイス、船荷証券、保険証書などである。よって、プラットフォームを利用するユーザーはそれら参照文書をプラットフォームから容易に検索できなければならない。</w:t>
      </w:r>
    </w:p>
    <w:p w14:paraId="6954C408" w14:textId="77777777" w:rsidR="00237479" w:rsidRDefault="00237479" w:rsidP="00237479">
      <w:pPr>
        <w:pStyle w:val="a3"/>
        <w:widowControl/>
        <w:numPr>
          <w:ilvl w:val="0"/>
          <w:numId w:val="7"/>
        </w:numPr>
        <w:ind w:leftChars="0"/>
        <w:jc w:val="left"/>
      </w:pPr>
      <w:r>
        <w:rPr>
          <w:rFonts w:hint="eastAsia"/>
        </w:rPr>
        <w:t>プラットフォーム間相互接続：世界の貿易をたった一つのプラットフォームに乗せることは望まれず、プラットフォームは分散化する。すなわち、輸出入者が異なるプラットフォームに接続しても、上記の「文書間で共有するデータ」「文書を参照する文書」の課題を解決しなければならない。</w:t>
      </w:r>
    </w:p>
    <w:p w14:paraId="73F15306" w14:textId="77777777" w:rsidR="00237479" w:rsidRDefault="00237479" w:rsidP="00237479">
      <w:pPr>
        <w:pStyle w:val="a3"/>
        <w:widowControl/>
        <w:numPr>
          <w:ilvl w:val="0"/>
          <w:numId w:val="6"/>
        </w:numPr>
        <w:ind w:leftChars="0"/>
        <w:jc w:val="left"/>
      </w:pPr>
      <w:r>
        <w:rPr>
          <w:rFonts w:hint="eastAsia"/>
        </w:rPr>
        <w:t>国内における貿易デジタル化推進</w:t>
      </w:r>
    </w:p>
    <w:p w14:paraId="0C0B1182" w14:textId="77777777" w:rsidR="00237479" w:rsidRDefault="00237479" w:rsidP="00237479">
      <w:pPr>
        <w:pStyle w:val="a3"/>
        <w:widowControl/>
        <w:numPr>
          <w:ilvl w:val="0"/>
          <w:numId w:val="9"/>
        </w:numPr>
        <w:ind w:leftChars="0"/>
        <w:jc w:val="left"/>
      </w:pPr>
      <w:r>
        <w:rPr>
          <w:rFonts w:hint="eastAsia"/>
        </w:rPr>
        <w:t>国内では、産業界におけるデータ連携基盤としてウラノスが紹介され、業界を跨るインフラとしてその推進が始まっている。輸出入においても、国内サプライチェーンとストレスのない連携を実現するためには、国連</w:t>
      </w:r>
      <w:r>
        <w:t>CEFACT</w:t>
      </w:r>
      <w:r>
        <w:rPr>
          <w:rFonts w:hint="eastAsia"/>
        </w:rPr>
        <w:t>標準に基づくデジタル貿易との連携ができる仕組みを検討する必要がある。</w:t>
      </w:r>
    </w:p>
    <w:p w14:paraId="1FAB5350" w14:textId="77777777" w:rsidR="00237479" w:rsidRDefault="00237479" w:rsidP="00237479">
      <w:pPr>
        <w:pStyle w:val="a3"/>
        <w:widowControl/>
        <w:numPr>
          <w:ilvl w:val="0"/>
          <w:numId w:val="9"/>
        </w:numPr>
        <w:ind w:leftChars="0"/>
        <w:jc w:val="left"/>
      </w:pPr>
      <w:r>
        <w:rPr>
          <w:rFonts w:hint="eastAsia"/>
        </w:rPr>
        <w:t>国連C</w:t>
      </w:r>
      <w:r>
        <w:t>EFACT</w:t>
      </w:r>
      <w:r>
        <w:rPr>
          <w:rFonts w:hint="eastAsia"/>
        </w:rPr>
        <w:t>標準に基づく貿易デジタル化は、まず大手商社と銀行のニーズ分析から始めた。中小企業が荷主となる場合や、中小物流業者が関係する分野についての考慮及び普及促進も重要課題として取り上げる必要がある。</w:t>
      </w:r>
    </w:p>
    <w:p w14:paraId="0AA7E88D" w14:textId="77777777" w:rsidR="00237479" w:rsidRDefault="00237479" w:rsidP="00237479">
      <w:pPr>
        <w:pStyle w:val="a3"/>
        <w:widowControl/>
        <w:numPr>
          <w:ilvl w:val="0"/>
          <w:numId w:val="6"/>
        </w:numPr>
        <w:ind w:leftChars="0"/>
        <w:jc w:val="left"/>
      </w:pPr>
      <w:r>
        <w:rPr>
          <w:rFonts w:hint="eastAsia"/>
        </w:rPr>
        <w:t>社会的課題と貿易</w:t>
      </w:r>
    </w:p>
    <w:p w14:paraId="66911D72" w14:textId="77777777" w:rsidR="00237479" w:rsidRDefault="00237479" w:rsidP="00237479">
      <w:pPr>
        <w:pStyle w:val="a3"/>
        <w:widowControl/>
        <w:ind w:leftChars="0" w:left="360"/>
        <w:jc w:val="left"/>
      </w:pPr>
      <w:r>
        <w:rPr>
          <w:rFonts w:hint="eastAsia"/>
        </w:rPr>
        <w:t>持続的社会を実現するために、次のような重要なテーマが議論されている。</w:t>
      </w:r>
    </w:p>
    <w:p w14:paraId="68238F67" w14:textId="77777777" w:rsidR="00237479" w:rsidRDefault="00237479" w:rsidP="00237479">
      <w:pPr>
        <w:pStyle w:val="a3"/>
        <w:widowControl/>
        <w:numPr>
          <w:ilvl w:val="0"/>
          <w:numId w:val="8"/>
        </w:numPr>
        <w:ind w:leftChars="0"/>
        <w:jc w:val="left"/>
      </w:pPr>
      <w:r>
        <w:rPr>
          <w:rFonts w:hint="eastAsia"/>
        </w:rPr>
        <w:t>カーボンフットプリント（あるいはG</w:t>
      </w:r>
      <w:r>
        <w:t>HG</w:t>
      </w:r>
      <w:r>
        <w:rPr>
          <w:rFonts w:hint="eastAsia"/>
        </w:rPr>
        <w:t>対策）</w:t>
      </w:r>
    </w:p>
    <w:p w14:paraId="37415F53" w14:textId="77777777" w:rsidR="00237479" w:rsidRDefault="00237479" w:rsidP="00237479">
      <w:pPr>
        <w:pStyle w:val="a3"/>
        <w:widowControl/>
        <w:numPr>
          <w:ilvl w:val="0"/>
          <w:numId w:val="8"/>
        </w:numPr>
        <w:ind w:leftChars="0"/>
        <w:jc w:val="left"/>
      </w:pPr>
      <w:r>
        <w:rPr>
          <w:rFonts w:hint="eastAsia"/>
        </w:rPr>
        <w:t>希少資源の管理</w:t>
      </w:r>
    </w:p>
    <w:p w14:paraId="61F2C51F" w14:textId="77777777" w:rsidR="00237479" w:rsidRDefault="00237479" w:rsidP="00237479">
      <w:pPr>
        <w:pStyle w:val="a3"/>
        <w:widowControl/>
        <w:numPr>
          <w:ilvl w:val="0"/>
          <w:numId w:val="8"/>
        </w:numPr>
        <w:ind w:leftChars="0"/>
        <w:jc w:val="left"/>
      </w:pPr>
      <w:r>
        <w:rPr>
          <w:rFonts w:hint="eastAsia"/>
        </w:rPr>
        <w:lastRenderedPageBreak/>
        <w:t>サプライチェーンの強靭性</w:t>
      </w:r>
    </w:p>
    <w:p w14:paraId="39812B86" w14:textId="77777777" w:rsidR="00237479" w:rsidRDefault="00237479" w:rsidP="00237479">
      <w:pPr>
        <w:pStyle w:val="a3"/>
        <w:widowControl/>
        <w:numPr>
          <w:ilvl w:val="0"/>
          <w:numId w:val="8"/>
        </w:numPr>
        <w:ind w:leftChars="0"/>
        <w:jc w:val="left"/>
      </w:pPr>
      <w:r>
        <w:rPr>
          <w:rFonts w:hint="eastAsia"/>
        </w:rPr>
        <w:t>サプライチェーン上の人権問題</w:t>
      </w:r>
    </w:p>
    <w:p w14:paraId="2B6F97C9" w14:textId="77777777" w:rsidR="00237479" w:rsidRDefault="00237479" w:rsidP="00237479">
      <w:pPr>
        <w:widowControl/>
        <w:jc w:val="left"/>
      </w:pPr>
      <w:r>
        <w:rPr>
          <w:rFonts w:hint="eastAsia"/>
        </w:rPr>
        <w:t xml:space="preserve">　　これらの課題解決に向け、特に欧州を中心に新しい規則が制定されつつあり、貿易に</w:t>
      </w:r>
    </w:p>
    <w:p w14:paraId="731EC745" w14:textId="77777777" w:rsidR="00237479" w:rsidRDefault="00237479" w:rsidP="00237479">
      <w:pPr>
        <w:widowControl/>
        <w:ind w:firstLineChars="200" w:firstLine="420"/>
        <w:jc w:val="left"/>
      </w:pPr>
      <w:r>
        <w:rPr>
          <w:rFonts w:hint="eastAsia"/>
        </w:rPr>
        <w:t>おいても課題を見える化するための新たなデータや文書が要求されてこよう。</w:t>
      </w:r>
    </w:p>
    <w:p w14:paraId="7ECF8651" w14:textId="77777777" w:rsidR="00237479" w:rsidRDefault="00237479" w:rsidP="00237479">
      <w:pPr>
        <w:widowControl/>
        <w:ind w:firstLineChars="200" w:firstLine="420"/>
        <w:jc w:val="left"/>
      </w:pPr>
      <w:r>
        <w:rPr>
          <w:rFonts w:hint="eastAsia"/>
        </w:rPr>
        <w:t>今までも、原産地証明を始めとして、含有化学物質管理、絶滅危惧種生物取引、廃棄</w:t>
      </w:r>
    </w:p>
    <w:p w14:paraId="7A60D320" w14:textId="77777777" w:rsidR="00237479" w:rsidRDefault="00237479" w:rsidP="00237479">
      <w:pPr>
        <w:widowControl/>
        <w:ind w:firstLineChars="200" w:firstLine="420"/>
        <w:jc w:val="left"/>
      </w:pPr>
      <w:r>
        <w:rPr>
          <w:rFonts w:hint="eastAsia"/>
        </w:rPr>
        <w:t>物輸出入など、いろいろな課題が出され、その度に個別対応してきている。</w:t>
      </w:r>
    </w:p>
    <w:p w14:paraId="6F905CA5" w14:textId="77777777" w:rsidR="00237479" w:rsidRDefault="00237479" w:rsidP="00237479">
      <w:pPr>
        <w:widowControl/>
        <w:ind w:firstLineChars="200" w:firstLine="420"/>
        <w:jc w:val="left"/>
      </w:pPr>
      <w:r>
        <w:rPr>
          <w:rFonts w:hint="eastAsia"/>
        </w:rPr>
        <w:t>これら新旧の課題で必要となってくるのは、新たなデータ項目や文書の定義はもとよ</w:t>
      </w:r>
    </w:p>
    <w:p w14:paraId="103F270C" w14:textId="77777777" w:rsidR="00237479" w:rsidRDefault="00237479" w:rsidP="00237479">
      <w:pPr>
        <w:widowControl/>
        <w:ind w:firstLineChars="200" w:firstLine="420"/>
        <w:jc w:val="left"/>
      </w:pPr>
      <w:r>
        <w:rPr>
          <w:rFonts w:hint="eastAsia"/>
        </w:rPr>
        <w:t>り、国を超えて情報を追跡する仕組み、すなわちトレーサビリティである。</w:t>
      </w:r>
    </w:p>
    <w:p w14:paraId="61C9A9A2" w14:textId="77777777" w:rsidR="00237479" w:rsidRDefault="00237479" w:rsidP="00237479">
      <w:pPr>
        <w:widowControl/>
        <w:ind w:firstLineChars="200" w:firstLine="420"/>
        <w:jc w:val="left"/>
      </w:pPr>
      <w:r>
        <w:rPr>
          <w:rFonts w:hint="eastAsia"/>
        </w:rPr>
        <w:t>今後、貿易プラットフォーム及びその相互連携を含め、国を超えたトレーサビリティ</w:t>
      </w:r>
    </w:p>
    <w:p w14:paraId="107DA77D" w14:textId="77777777" w:rsidR="00237479" w:rsidRDefault="00237479" w:rsidP="00237479">
      <w:pPr>
        <w:widowControl/>
        <w:ind w:firstLineChars="200" w:firstLine="420"/>
        <w:jc w:val="left"/>
      </w:pPr>
      <w:r>
        <w:rPr>
          <w:rFonts w:hint="eastAsia"/>
        </w:rPr>
        <w:t>の汎用的な仕組みつくりが重要となりそうである。</w:t>
      </w:r>
    </w:p>
    <w:p w14:paraId="3F8F0EA6" w14:textId="77777777" w:rsidR="00237479" w:rsidRDefault="00237479" w:rsidP="00237479">
      <w:pPr>
        <w:widowControl/>
        <w:ind w:firstLineChars="200" w:firstLine="420"/>
        <w:jc w:val="left"/>
      </w:pPr>
    </w:p>
    <w:p w14:paraId="6E31BE88" w14:textId="77777777" w:rsidR="00237479" w:rsidRDefault="00237479" w:rsidP="00237479">
      <w:pPr>
        <w:widowControl/>
        <w:jc w:val="left"/>
      </w:pPr>
      <w:r>
        <w:rPr>
          <w:rFonts w:hint="eastAsia"/>
          <w:b/>
          <w:bCs/>
        </w:rPr>
        <w:t>＜</w:t>
      </w:r>
      <w:r w:rsidRPr="00AD38A7">
        <w:rPr>
          <w:rFonts w:hint="eastAsia"/>
          <w:b/>
          <w:bCs/>
        </w:rPr>
        <w:t>国際貿易</w:t>
      </w:r>
      <w:r>
        <w:rPr>
          <w:rFonts w:hint="eastAsia"/>
          <w:b/>
          <w:bCs/>
        </w:rPr>
        <w:t>デジタル化推進スケジュール（案）＞</w:t>
      </w:r>
      <w:r w:rsidRPr="00D410FD">
        <w:rPr>
          <w:noProof/>
        </w:rPr>
        <w:drawing>
          <wp:inline distT="0" distB="0" distL="0" distR="0" wp14:anchorId="097ED63C" wp14:editId="61ED7830">
            <wp:extent cx="5400040" cy="4197350"/>
            <wp:effectExtent l="0" t="0" r="0" b="0"/>
            <wp:docPr id="414595008"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4197350"/>
                    </a:xfrm>
                    <a:prstGeom prst="rect">
                      <a:avLst/>
                    </a:prstGeom>
                    <a:noFill/>
                    <a:ln>
                      <a:noFill/>
                    </a:ln>
                  </pic:spPr>
                </pic:pic>
              </a:graphicData>
            </a:graphic>
          </wp:inline>
        </w:drawing>
      </w:r>
    </w:p>
    <w:p w14:paraId="0F7C3B55" w14:textId="05676B82" w:rsidR="00E70816" w:rsidRDefault="00237479" w:rsidP="00237479">
      <w:r>
        <w:br w:type="page"/>
      </w:r>
    </w:p>
    <w:sectPr w:rsidR="00E70816">
      <w:headerReference w:type="default" r:id="rId9"/>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0C849" w14:textId="77777777" w:rsidR="00CB798E" w:rsidRDefault="00CB798E" w:rsidP="00237479">
      <w:r>
        <w:separator/>
      </w:r>
    </w:p>
  </w:endnote>
  <w:endnote w:type="continuationSeparator" w:id="0">
    <w:p w14:paraId="692BCB0A" w14:textId="77777777" w:rsidR="00CB798E" w:rsidRDefault="00CB798E" w:rsidP="002374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7501000"/>
      <w:docPartObj>
        <w:docPartGallery w:val="Page Numbers (Bottom of Page)"/>
        <w:docPartUnique/>
      </w:docPartObj>
    </w:sdtPr>
    <w:sdtContent>
      <w:p w14:paraId="1BA3CD2C" w14:textId="31999BE5" w:rsidR="00237479" w:rsidRDefault="00237479">
        <w:pPr>
          <w:pStyle w:val="a6"/>
          <w:jc w:val="center"/>
        </w:pPr>
        <w:r>
          <w:fldChar w:fldCharType="begin"/>
        </w:r>
        <w:r>
          <w:instrText>PAGE   \* MERGEFORMAT</w:instrText>
        </w:r>
        <w:r>
          <w:fldChar w:fldCharType="separate"/>
        </w:r>
        <w:r>
          <w:rPr>
            <w:lang w:val="ja-JP"/>
          </w:rPr>
          <w:t>2</w:t>
        </w:r>
        <w:r>
          <w:fldChar w:fldCharType="end"/>
        </w:r>
      </w:p>
    </w:sdtContent>
  </w:sdt>
  <w:p w14:paraId="6C6C9454" w14:textId="77777777" w:rsidR="00237479" w:rsidRDefault="0023747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342241" w14:textId="77777777" w:rsidR="00CB798E" w:rsidRDefault="00CB798E" w:rsidP="00237479">
      <w:r>
        <w:separator/>
      </w:r>
    </w:p>
  </w:footnote>
  <w:footnote w:type="continuationSeparator" w:id="0">
    <w:p w14:paraId="136A1BF9" w14:textId="77777777" w:rsidR="00CB798E" w:rsidRDefault="00CB798E" w:rsidP="002374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6D41B" w14:textId="3B69E8A8" w:rsidR="00237479" w:rsidRDefault="00237479" w:rsidP="00237479">
    <w:pPr>
      <w:pStyle w:val="a4"/>
      <w:jc w:val="right"/>
    </w:pPr>
    <w:r>
      <w:rPr>
        <w:rFonts w:hint="eastAsia"/>
      </w:rPr>
      <w:t>業界横断2</w:t>
    </w:r>
    <w:r>
      <w:t>023-4-03</w:t>
    </w:r>
  </w:p>
  <w:p w14:paraId="2C765EF6" w14:textId="77777777" w:rsidR="00237479" w:rsidRDefault="00237479">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3878B0"/>
    <w:multiLevelType w:val="hybridMultilevel"/>
    <w:tmpl w:val="9DB252A8"/>
    <w:lvl w:ilvl="0" w:tplc="8666593A">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1" w15:restartNumberingAfterBreak="0">
    <w:nsid w:val="123F24EA"/>
    <w:multiLevelType w:val="hybridMultilevel"/>
    <w:tmpl w:val="9EACAC30"/>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2" w15:restartNumberingAfterBreak="0">
    <w:nsid w:val="16817FE1"/>
    <w:multiLevelType w:val="hybridMultilevel"/>
    <w:tmpl w:val="53E61ABE"/>
    <w:lvl w:ilvl="0" w:tplc="8666593A">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3" w15:restartNumberingAfterBreak="0">
    <w:nsid w:val="1B5531BB"/>
    <w:multiLevelType w:val="hybridMultilevel"/>
    <w:tmpl w:val="0F128278"/>
    <w:lvl w:ilvl="0" w:tplc="8666593A">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4" w15:restartNumberingAfterBreak="0">
    <w:nsid w:val="1C407B5C"/>
    <w:multiLevelType w:val="hybridMultilevel"/>
    <w:tmpl w:val="A7748010"/>
    <w:lvl w:ilvl="0" w:tplc="8666593A">
      <w:start w:val="1"/>
      <w:numFmt w:val="bullet"/>
      <w:lvlText w:val=""/>
      <w:lvlJc w:val="left"/>
      <w:pPr>
        <w:ind w:left="1240" w:hanging="440"/>
      </w:pPr>
      <w:rPr>
        <w:rFonts w:ascii="Wingdings" w:hAnsi="Wingdings" w:hint="default"/>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5" w15:restartNumberingAfterBreak="0">
    <w:nsid w:val="22E84418"/>
    <w:multiLevelType w:val="hybridMultilevel"/>
    <w:tmpl w:val="22488AEC"/>
    <w:lvl w:ilvl="0" w:tplc="0409000B">
      <w:start w:val="1"/>
      <w:numFmt w:val="bullet"/>
      <w:lvlText w:val=""/>
      <w:lvlJc w:val="left"/>
      <w:pPr>
        <w:ind w:left="880" w:hanging="440"/>
      </w:pPr>
      <w:rPr>
        <w:rFonts w:ascii="Wingdings" w:hAnsi="Wingdings" w:hint="default"/>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6" w15:restartNumberingAfterBreak="0">
    <w:nsid w:val="2BF6264C"/>
    <w:multiLevelType w:val="hybridMultilevel"/>
    <w:tmpl w:val="F486437A"/>
    <w:lvl w:ilvl="0" w:tplc="3402A5F0">
      <w:start w:val="1"/>
      <w:numFmt w:val="upperRoman"/>
      <w:lvlText w:val="%1."/>
      <w:lvlJc w:val="left"/>
      <w:pPr>
        <w:ind w:left="720" w:hanging="720"/>
      </w:pPr>
      <w:rPr>
        <w:rFonts w:hint="default"/>
      </w:rPr>
    </w:lvl>
    <w:lvl w:ilvl="1" w:tplc="08B8BFD2">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5ACD41D6"/>
    <w:multiLevelType w:val="hybridMultilevel"/>
    <w:tmpl w:val="1A267402"/>
    <w:lvl w:ilvl="0" w:tplc="184471B8">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689C00EE"/>
    <w:multiLevelType w:val="hybridMultilevel"/>
    <w:tmpl w:val="B5AE5988"/>
    <w:lvl w:ilvl="0" w:tplc="0409000B">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9" w15:restartNumberingAfterBreak="0">
    <w:nsid w:val="729E6003"/>
    <w:multiLevelType w:val="hybridMultilevel"/>
    <w:tmpl w:val="4D44B2E8"/>
    <w:lvl w:ilvl="0" w:tplc="23386D5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843817613">
    <w:abstractNumId w:val="6"/>
  </w:num>
  <w:num w:numId="2" w16cid:durableId="1316645905">
    <w:abstractNumId w:val="5"/>
  </w:num>
  <w:num w:numId="3" w16cid:durableId="1063798908">
    <w:abstractNumId w:val="7"/>
  </w:num>
  <w:num w:numId="4" w16cid:durableId="2114978145">
    <w:abstractNumId w:val="3"/>
  </w:num>
  <w:num w:numId="5" w16cid:durableId="805977852">
    <w:abstractNumId w:val="4"/>
  </w:num>
  <w:num w:numId="6" w16cid:durableId="1393653034">
    <w:abstractNumId w:val="9"/>
  </w:num>
  <w:num w:numId="7" w16cid:durableId="1038315926">
    <w:abstractNumId w:val="8"/>
  </w:num>
  <w:num w:numId="8" w16cid:durableId="1564366396">
    <w:abstractNumId w:val="2"/>
  </w:num>
  <w:num w:numId="9" w16cid:durableId="1000501105">
    <w:abstractNumId w:val="1"/>
  </w:num>
  <w:num w:numId="10" w16cid:durableId="3907313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479"/>
    <w:rsid w:val="00237479"/>
    <w:rsid w:val="00817200"/>
    <w:rsid w:val="00CB798E"/>
    <w:rsid w:val="00E708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2BC24D91"/>
  <w15:chartTrackingRefBased/>
  <w15:docId w15:val="{6C5E6331-7F11-42DD-864B-6BE44E2D60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7479"/>
    <w:pPr>
      <w:widowControl w:val="0"/>
      <w:jc w:val="both"/>
    </w:pPr>
  </w:style>
  <w:style w:type="paragraph" w:styleId="1">
    <w:name w:val="heading 1"/>
    <w:basedOn w:val="a"/>
    <w:next w:val="a"/>
    <w:link w:val="10"/>
    <w:uiPriority w:val="9"/>
    <w:qFormat/>
    <w:rsid w:val="0023747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37479"/>
    <w:rPr>
      <w:rFonts w:asciiTheme="majorHAnsi" w:eastAsiaTheme="majorEastAsia" w:hAnsiTheme="majorHAnsi" w:cstheme="majorBidi"/>
      <w:sz w:val="24"/>
      <w:szCs w:val="24"/>
    </w:rPr>
  </w:style>
  <w:style w:type="paragraph" w:styleId="a3">
    <w:name w:val="List Paragraph"/>
    <w:basedOn w:val="a"/>
    <w:uiPriority w:val="34"/>
    <w:qFormat/>
    <w:rsid w:val="00237479"/>
    <w:pPr>
      <w:ind w:leftChars="400" w:left="840"/>
    </w:pPr>
  </w:style>
  <w:style w:type="paragraph" w:styleId="a4">
    <w:name w:val="header"/>
    <w:basedOn w:val="a"/>
    <w:link w:val="a5"/>
    <w:uiPriority w:val="99"/>
    <w:unhideWhenUsed/>
    <w:rsid w:val="00237479"/>
    <w:pPr>
      <w:tabs>
        <w:tab w:val="center" w:pos="4252"/>
        <w:tab w:val="right" w:pos="8504"/>
      </w:tabs>
      <w:snapToGrid w:val="0"/>
    </w:pPr>
  </w:style>
  <w:style w:type="character" w:customStyle="1" w:styleId="a5">
    <w:name w:val="ヘッダー (文字)"/>
    <w:basedOn w:val="a0"/>
    <w:link w:val="a4"/>
    <w:uiPriority w:val="99"/>
    <w:rsid w:val="00237479"/>
  </w:style>
  <w:style w:type="paragraph" w:styleId="a6">
    <w:name w:val="footer"/>
    <w:basedOn w:val="a"/>
    <w:link w:val="a7"/>
    <w:uiPriority w:val="99"/>
    <w:unhideWhenUsed/>
    <w:rsid w:val="00237479"/>
    <w:pPr>
      <w:tabs>
        <w:tab w:val="center" w:pos="4252"/>
        <w:tab w:val="right" w:pos="8504"/>
      </w:tabs>
      <w:snapToGrid w:val="0"/>
    </w:pPr>
  </w:style>
  <w:style w:type="character" w:customStyle="1" w:styleId="a7">
    <w:name w:val="フッター (文字)"/>
    <w:basedOn w:val="a0"/>
    <w:link w:val="a6"/>
    <w:uiPriority w:val="99"/>
    <w:rsid w:val="00237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601</Words>
  <Characters>3426</Characters>
  <Application>Microsoft Office Word</Application>
  <DocSecurity>0</DocSecurity>
  <Lines>28</Lines>
  <Paragraphs>8</Paragraphs>
  <ScaleCrop>false</ScaleCrop>
  <Company/>
  <LinksUpToDate>false</LinksUpToDate>
  <CharactersWithSpaces>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久直 菅又</dc:creator>
  <cp:keywords/>
  <dc:description/>
  <cp:lastModifiedBy>久直 菅又</cp:lastModifiedBy>
  <cp:revision>1</cp:revision>
  <dcterms:created xsi:type="dcterms:W3CDTF">2024-02-09T01:22:00Z</dcterms:created>
  <dcterms:modified xsi:type="dcterms:W3CDTF">2024-02-09T01:28:00Z</dcterms:modified>
</cp:coreProperties>
</file>