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4D15B3" w14:textId="7E666EE9" w:rsidR="006848F5" w:rsidRPr="00A64202" w:rsidRDefault="00EB1435" w:rsidP="006848F5">
      <w:pPr>
        <w:suppressAutoHyphens w:val="0"/>
        <w:autoSpaceDE w:val="0"/>
        <w:autoSpaceDN w:val="0"/>
        <w:adjustRightInd w:val="0"/>
        <w:spacing w:before="120" w:line="240" w:lineRule="auto"/>
        <w:rPr>
          <w:b/>
          <w:bCs/>
          <w:sz w:val="28"/>
          <w:szCs w:val="28"/>
          <w:lang w:val="en-US"/>
        </w:rPr>
      </w:pPr>
      <w:r>
        <w:rPr>
          <w:rFonts w:hint="eastAsia"/>
          <w:noProof/>
          <w:sz w:val="24"/>
          <w:szCs w:val="24"/>
          <w:lang w:val="en-US" w:eastAsia="ja-JP"/>
        </w:rPr>
        <mc:AlternateContent>
          <mc:Choice Requires="wps">
            <w:drawing>
              <wp:anchor distT="0" distB="0" distL="114300" distR="114300" simplePos="0" relativeHeight="251659264" behindDoc="0" locked="0" layoutInCell="1" allowOverlap="1" wp14:anchorId="61A58B08" wp14:editId="5B19C1DE">
                <wp:simplePos x="0" y="0"/>
                <wp:positionH relativeFrom="column">
                  <wp:posOffset>4525010</wp:posOffset>
                </wp:positionH>
                <wp:positionV relativeFrom="paragraph">
                  <wp:posOffset>166370</wp:posOffset>
                </wp:positionV>
                <wp:extent cx="1174750" cy="660400"/>
                <wp:effectExtent l="876300" t="0" r="25400" b="558800"/>
                <wp:wrapNone/>
                <wp:docPr id="5" name="吹き出し: 角を丸めた四角形 5"/>
                <wp:cNvGraphicFramePr/>
                <a:graphic xmlns:a="http://schemas.openxmlformats.org/drawingml/2006/main">
                  <a:graphicData uri="http://schemas.microsoft.com/office/word/2010/wordprocessingShape">
                    <wps:wsp>
                      <wps:cNvSpPr/>
                      <wps:spPr>
                        <a:xfrm>
                          <a:off x="0" y="0"/>
                          <a:ext cx="1174750" cy="660400"/>
                        </a:xfrm>
                        <a:prstGeom prst="wedgeRoundRectCallout">
                          <a:avLst>
                            <a:gd name="adj1" fmla="val -122995"/>
                            <a:gd name="adj2" fmla="val 128289"/>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5789FB53" w14:textId="055144F0" w:rsidR="00EB1435" w:rsidRPr="00EB1435" w:rsidRDefault="00EB1435" w:rsidP="00EB1435">
                            <w:pPr>
                              <w:jc w:val="center"/>
                              <w:rPr>
                                <w:b/>
                                <w:bCs/>
                                <w:color w:val="0070C0"/>
                                <w:sz w:val="24"/>
                                <w:szCs w:val="24"/>
                                <w:lang w:eastAsia="ja-JP"/>
                              </w:rPr>
                            </w:pPr>
                            <w:r w:rsidRPr="00EB1435">
                              <w:rPr>
                                <w:rFonts w:hint="eastAsia"/>
                                <w:b/>
                                <w:bCs/>
                                <w:color w:val="0070C0"/>
                                <w:sz w:val="24"/>
                                <w:szCs w:val="24"/>
                                <w:lang w:eastAsia="ja-JP"/>
                              </w:rPr>
                              <w:t>翻訳</w:t>
                            </w:r>
                            <w:r w:rsidRPr="00EB1435">
                              <w:rPr>
                                <w:b/>
                                <w:bCs/>
                                <w:color w:val="0070C0"/>
                                <w:sz w:val="24"/>
                                <w:szCs w:val="24"/>
                                <w:lang w:eastAsia="ja-JP"/>
                              </w:rPr>
                              <w:t>JASTPRO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1A58B08"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吹き出し: 角を丸めた四角形 5" o:spid="_x0000_s1026" type="#_x0000_t62" style="position:absolute;margin-left:356.3pt;margin-top:13.1pt;width:92.5pt;height:52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" adj="-15767,38510" filled="f" strokecolor="#243f60 [1604]" strokeweight="2pt">
                <v:textbox>
                  <w:txbxContent>
                    <w:p w14:paraId="5789FB53" w14:textId="055144F0" w:rsidR="00EB1435" w:rsidRPr="00EB1435" w:rsidRDefault="00EB1435" w:rsidP="00EB1435">
                      <w:pPr>
                        <w:jc w:val="center"/>
                        <w:rPr>
                          <w:rFonts w:hint="eastAsia"/>
                          <w:b/>
                          <w:bCs/>
                          <w:color w:val="0070C0"/>
                          <w:sz w:val="24"/>
                          <w:szCs w:val="24"/>
                          <w:lang w:eastAsia="ja-JP"/>
                        </w:rPr>
                      </w:pPr>
                      <w:r w:rsidRPr="00EB1435">
                        <w:rPr>
                          <w:rFonts w:hint="eastAsia"/>
                          <w:b/>
                          <w:bCs/>
                          <w:color w:val="0070C0"/>
                          <w:sz w:val="24"/>
                          <w:szCs w:val="24"/>
                          <w:lang w:eastAsia="ja-JP"/>
                        </w:rPr>
                        <w:t>翻訳</w:t>
                      </w:r>
                      <w:r w:rsidRPr="00EB1435">
                        <w:rPr>
                          <w:b/>
                          <w:bCs/>
                          <w:color w:val="0070C0"/>
                          <w:sz w:val="24"/>
                          <w:szCs w:val="24"/>
                          <w:lang w:eastAsia="ja-JP"/>
                        </w:rPr>
                        <w:t>JASTPRO</w:t>
                      </w:r>
                    </w:p>
                  </w:txbxContent>
                </v:textbox>
              </v:shape>
            </w:pict>
          </mc:Fallback>
        </mc:AlternateContent>
      </w:r>
      <w:r w:rsidR="0092105C">
        <w:rPr>
          <w:b/>
          <w:bCs/>
          <w:sz w:val="28"/>
          <w:szCs w:val="28"/>
          <w:lang w:val="en-US" w:eastAsia="ja-JP"/>
        </w:rPr>
        <w:t xml:space="preserve">Economic Commission for Europe  </w:t>
      </w:r>
      <w:r w:rsidR="006848F5" w:rsidRPr="0092105C">
        <w:rPr>
          <w:b/>
          <w:bCs/>
          <w:sz w:val="24"/>
          <w:szCs w:val="24"/>
          <w:lang w:val="en-US"/>
        </w:rPr>
        <w:t>欧州経済委員会</w:t>
      </w:r>
    </w:p>
    <w:p w14:paraId="6B1DB1A6" w14:textId="67F35DE8" w:rsidR="001C6663" w:rsidRPr="0092105C" w:rsidRDefault="0092105C" w:rsidP="0092105C">
      <w:pPr>
        <w:suppressAutoHyphens w:val="0"/>
        <w:autoSpaceDE w:val="0"/>
        <w:autoSpaceDN w:val="0"/>
        <w:adjustRightInd w:val="0"/>
        <w:spacing w:before="120" w:line="240" w:lineRule="auto"/>
        <w:ind w:leftChars="71" w:left="142"/>
        <w:rPr>
          <w:sz w:val="24"/>
          <w:szCs w:val="24"/>
          <w:lang w:val="en-US"/>
        </w:rPr>
      </w:pPr>
      <w:r w:rsidRPr="0092105C">
        <w:rPr>
          <w:rFonts w:hint="eastAsia"/>
          <w:sz w:val="24"/>
          <w:szCs w:val="24"/>
          <w:lang w:val="en-US" w:eastAsia="ja-JP"/>
        </w:rPr>
        <w:t>E</w:t>
      </w:r>
      <w:r w:rsidRPr="0092105C">
        <w:rPr>
          <w:sz w:val="24"/>
          <w:szCs w:val="24"/>
          <w:lang w:val="en-US" w:eastAsia="ja-JP"/>
        </w:rPr>
        <w:t xml:space="preserve">xecutive Committee </w:t>
      </w:r>
    </w:p>
    <w:p w14:paraId="77017742" w14:textId="77777777" w:rsidR="007D5978" w:rsidRPr="001D3A88" w:rsidRDefault="007D5978" w:rsidP="007D5978">
      <w:pPr>
        <w:spacing w:before="120"/>
        <w:outlineLvl w:val="0"/>
        <w:rPr>
          <w:b/>
          <w:sz w:val="24"/>
          <w:szCs w:val="24"/>
        </w:rPr>
      </w:pPr>
      <w:r>
        <w:rPr>
          <w:b/>
          <w:sz w:val="24"/>
          <w:szCs w:val="24"/>
        </w:rPr>
        <w:t>貿易円滑化電子ビジネスセンター</w:t>
      </w:r>
    </w:p>
    <w:p w14:paraId="0E490ABA" w14:textId="77777777" w:rsidR="007D5978" w:rsidRPr="001D3A88" w:rsidRDefault="007D5978" w:rsidP="007D5978">
      <w:pPr>
        <w:rPr>
          <w:b/>
        </w:rPr>
      </w:pPr>
    </w:p>
    <w:p w14:paraId="232D3CD7" w14:textId="3A7F477F" w:rsidR="007D5978" w:rsidRPr="001D3A88" w:rsidRDefault="007D5978" w:rsidP="007D5978">
      <w:pPr>
        <w:rPr>
          <w:b/>
        </w:rPr>
      </w:pPr>
      <w:r>
        <w:rPr>
          <w:b/>
        </w:rPr>
        <w:t>第</w:t>
      </w:r>
      <w:r>
        <w:rPr>
          <w:b/>
        </w:rPr>
        <w:t>28</w:t>
      </w:r>
      <w:r>
        <w:rPr>
          <w:b/>
        </w:rPr>
        <w:t>回</w:t>
      </w:r>
      <w:r w:rsidR="00A4258F">
        <w:rPr>
          <w:rFonts w:hint="eastAsia"/>
          <w:b/>
          <w:lang w:eastAsia="ja-JP"/>
        </w:rPr>
        <w:t>総会</w:t>
      </w:r>
    </w:p>
    <w:p w14:paraId="060E8B45" w14:textId="1BAA3641" w:rsidR="007D5978" w:rsidRDefault="007D5978" w:rsidP="007D5978">
      <w:pPr>
        <w:suppressAutoHyphens w:val="0"/>
        <w:autoSpaceDE w:val="0"/>
        <w:autoSpaceDN w:val="0"/>
        <w:adjustRightInd w:val="0"/>
        <w:spacing w:line="240" w:lineRule="auto"/>
      </w:pPr>
      <w:r w:rsidRPr="00EB1435">
        <w:t>ジュネーブ、</w:t>
      </w:r>
      <w:r w:rsidRPr="00EB1435">
        <w:t>2022</w:t>
      </w:r>
      <w:r w:rsidRPr="00EB1435">
        <w:t>年</w:t>
      </w:r>
      <w:r w:rsidRPr="00EB1435">
        <w:t>10</w:t>
      </w:r>
      <w:r w:rsidRPr="00EB1435">
        <w:t>月</w:t>
      </w:r>
      <w:r w:rsidRPr="00EB1435">
        <w:t>10</w:t>
      </w:r>
      <w:r w:rsidRPr="00EB1435">
        <w:t>日から</w:t>
      </w:r>
      <w:r w:rsidRPr="00EB1435">
        <w:t>11</w:t>
      </w:r>
      <w:r w:rsidRPr="00EB1435">
        <w:t>日</w:t>
      </w:r>
      <w:r w:rsidRPr="00EB1435">
        <w:t xml:space="preserve"> (</w:t>
      </w:r>
      <w:r>
        <w:t>am)</w:t>
      </w:r>
    </w:p>
    <w:p w14:paraId="265D125F" w14:textId="09AAE2EC" w:rsidR="007D5978" w:rsidRPr="0092105C" w:rsidRDefault="00B0518D" w:rsidP="0092105C">
      <w:pPr>
        <w:pStyle w:val="HChG"/>
        <w:ind w:left="284" w:right="0" w:hanging="284"/>
        <w:rPr>
          <w:szCs w:val="28"/>
          <w:u w:val="single"/>
        </w:rPr>
      </w:pPr>
      <w:r w:rsidRPr="0092105C">
        <w:rPr>
          <w:szCs w:val="28"/>
          <w:u w:val="single"/>
        </w:rPr>
        <w:t>貿易円滑化・電子ビジネスセンター</w:t>
      </w:r>
      <w:r w:rsidRPr="0092105C">
        <w:rPr>
          <w:szCs w:val="28"/>
          <w:u w:val="single"/>
        </w:rPr>
        <w:t xml:space="preserve"> (UN/CEFACT) </w:t>
      </w:r>
      <w:r w:rsidRPr="0092105C">
        <w:rPr>
          <w:szCs w:val="28"/>
          <w:u w:val="single"/>
        </w:rPr>
        <w:t>第</w:t>
      </w:r>
      <w:r w:rsidRPr="0092105C">
        <w:rPr>
          <w:szCs w:val="28"/>
          <w:u w:val="single"/>
        </w:rPr>
        <w:t>28</w:t>
      </w:r>
      <w:r w:rsidRPr="0092105C">
        <w:rPr>
          <w:szCs w:val="28"/>
          <w:u w:val="single"/>
        </w:rPr>
        <w:t>回</w:t>
      </w:r>
      <w:r w:rsidR="0092105C" w:rsidRPr="0092105C">
        <w:rPr>
          <w:rFonts w:hint="eastAsia"/>
          <w:szCs w:val="28"/>
          <w:u w:val="single"/>
          <w:lang w:eastAsia="ja-JP"/>
        </w:rPr>
        <w:t>総会</w:t>
      </w:r>
      <w:r w:rsidRPr="0092105C">
        <w:rPr>
          <w:szCs w:val="28"/>
          <w:u w:val="single"/>
        </w:rPr>
        <w:t>報告書</w:t>
      </w:r>
    </w:p>
    <w:p w14:paraId="1389B703" w14:textId="2B3686D0" w:rsidR="00B0518D" w:rsidRDefault="00FE1182" w:rsidP="0092105C">
      <w:pPr>
        <w:pStyle w:val="HChG"/>
        <w:tabs>
          <w:tab w:val="clear" w:pos="851"/>
          <w:tab w:val="right" w:pos="284"/>
        </w:tabs>
        <w:ind w:left="426" w:hanging="426"/>
      </w:pPr>
      <w:r>
        <w:tab/>
        <w:t>I.</w:t>
      </w:r>
      <w:r>
        <w:tab/>
      </w:r>
      <w:r w:rsidR="00DF01D5">
        <w:rPr>
          <w:rFonts w:hint="eastAsia"/>
          <w:lang w:eastAsia="ja-JP"/>
        </w:rPr>
        <w:t>Attendance</w:t>
      </w:r>
      <w:r w:rsidR="00DF01D5">
        <w:rPr>
          <w:rFonts w:hint="eastAsia"/>
          <w:lang w:eastAsia="ja-JP"/>
        </w:rPr>
        <w:t xml:space="preserve">　</w:t>
      </w:r>
      <w:r w:rsidRPr="00BB3AA0">
        <w:rPr>
          <w:sz w:val="24"/>
          <w:szCs w:val="24"/>
        </w:rPr>
        <w:t>出席</w:t>
      </w:r>
    </w:p>
    <w:p w14:paraId="191E85DF" w14:textId="7A59F6C9" w:rsidR="00832DCC" w:rsidRPr="00832DCC" w:rsidRDefault="00832DCC" w:rsidP="00CD0E14">
      <w:pPr>
        <w:pStyle w:val="SingleTxtG"/>
        <w:ind w:leftChars="71" w:left="566" w:right="141" w:hangingChars="212" w:hanging="424"/>
      </w:pPr>
      <w:r>
        <w:t>1.</w:t>
      </w:r>
      <w:r>
        <w:tab/>
      </w:r>
      <w:r w:rsidRPr="00BB3AA0">
        <w:t>国連貿易円滑化・電子ビジネスセンター</w:t>
      </w:r>
      <w:r w:rsidRPr="00BB3AA0">
        <w:t xml:space="preserve"> (UN/CEFACT) </w:t>
      </w:r>
      <w:r w:rsidRPr="00BB3AA0">
        <w:t>は、</w:t>
      </w:r>
      <w:r w:rsidRPr="00EB1435">
        <w:rPr>
          <w:highlight w:val="yellow"/>
        </w:rPr>
        <w:t>2022</w:t>
      </w:r>
      <w:r w:rsidRPr="00EB1435">
        <w:rPr>
          <w:highlight w:val="yellow"/>
        </w:rPr>
        <w:t>年</w:t>
      </w:r>
      <w:r w:rsidRPr="00EB1435">
        <w:rPr>
          <w:highlight w:val="yellow"/>
        </w:rPr>
        <w:t>10</w:t>
      </w:r>
      <w:r w:rsidRPr="00EB1435">
        <w:rPr>
          <w:highlight w:val="yellow"/>
        </w:rPr>
        <w:t>月</w:t>
      </w:r>
      <w:r w:rsidR="00F36943" w:rsidRPr="00EB1435">
        <w:rPr>
          <w:rFonts w:hint="eastAsia"/>
          <w:highlight w:val="yellow"/>
          <w:lang w:eastAsia="ja-JP"/>
        </w:rPr>
        <w:t>10</w:t>
      </w:r>
      <w:r w:rsidR="00F36943" w:rsidRPr="00EB1435">
        <w:rPr>
          <w:rFonts w:hint="eastAsia"/>
          <w:highlight w:val="yellow"/>
          <w:lang w:eastAsia="ja-JP"/>
        </w:rPr>
        <w:t>日</w:t>
      </w:r>
      <w:r w:rsidRPr="00EB1435">
        <w:rPr>
          <w:highlight w:val="yellow"/>
        </w:rPr>
        <w:t>11</w:t>
      </w:r>
      <w:r w:rsidRPr="00EB1435">
        <w:rPr>
          <w:highlight w:val="yellow"/>
        </w:rPr>
        <w:t>日に、第</w:t>
      </w:r>
      <w:r w:rsidRPr="00EB1435">
        <w:rPr>
          <w:highlight w:val="yellow"/>
        </w:rPr>
        <w:t>28</w:t>
      </w:r>
      <w:r w:rsidRPr="00EB1435">
        <w:rPr>
          <w:highlight w:val="yellow"/>
        </w:rPr>
        <w:t>回目の本会議をバーチャルと対面の参加によるハイブリッド会議として開催</w:t>
      </w:r>
      <w:r w:rsidRPr="00BB3AA0">
        <w:t>した。</w:t>
      </w:r>
    </w:p>
    <w:p w14:paraId="430271A9" w14:textId="114B508C" w:rsidR="00832DCC" w:rsidRPr="00832DCC" w:rsidRDefault="00832DCC" w:rsidP="00CD0E14">
      <w:pPr>
        <w:pStyle w:val="SingleTxtG"/>
        <w:ind w:leftChars="71" w:left="566" w:rightChars="70" w:right="140" w:hangingChars="212" w:hanging="424"/>
      </w:pPr>
      <w:r>
        <w:t>2.</w:t>
      </w:r>
      <w:r w:rsidR="00CD0E14">
        <w:t xml:space="preserve">     </w:t>
      </w:r>
      <w:r w:rsidRPr="00EB1435">
        <w:rPr>
          <w:highlight w:val="yellow"/>
        </w:rPr>
        <w:t>オーストラリア、アゼルバイジャン、ブラジル、中国、コンゴ</w:t>
      </w:r>
      <w:r w:rsidRPr="00EB1435">
        <w:rPr>
          <w:highlight w:val="yellow"/>
        </w:rPr>
        <w:t xml:space="preserve"> (</w:t>
      </w:r>
      <w:r w:rsidRPr="00EB1435">
        <w:rPr>
          <w:highlight w:val="yellow"/>
        </w:rPr>
        <w:t>共和国</w:t>
      </w:r>
      <w:r w:rsidRPr="00EB1435">
        <w:rPr>
          <w:highlight w:val="yellow"/>
        </w:rPr>
        <w:t xml:space="preserve">) </w:t>
      </w:r>
      <w:r w:rsidRPr="00EB1435">
        <w:rPr>
          <w:highlight w:val="yellow"/>
        </w:rPr>
        <w:t>、チェコ共和国、フランス、ジョージア、ドイツ、インド、イタリア、日本、韓国</w:t>
      </w:r>
      <w:r w:rsidRPr="00EB1435">
        <w:rPr>
          <w:highlight w:val="yellow"/>
        </w:rPr>
        <w:t xml:space="preserve"> (</w:t>
      </w:r>
      <w:r w:rsidRPr="00EB1435">
        <w:rPr>
          <w:highlight w:val="yellow"/>
        </w:rPr>
        <w:t>共和国</w:t>
      </w:r>
      <w:r w:rsidRPr="00EB1435">
        <w:rPr>
          <w:highlight w:val="yellow"/>
        </w:rPr>
        <w:t xml:space="preserve">) </w:t>
      </w:r>
      <w:r w:rsidRPr="00EB1435">
        <w:rPr>
          <w:highlight w:val="yellow"/>
        </w:rPr>
        <w:t>、モロッコ、オランダ、パナマ、ロシア連邦、セネガル、スペイン、スウェーデン、グレートブリテン及び北アイルランド連合王国、ウクライナ、アメリカ合衆国、ベトナムが参加</w:t>
      </w:r>
      <w:r>
        <w:t>した。</w:t>
      </w:r>
    </w:p>
    <w:p w14:paraId="4FCF3C55" w14:textId="5C362D6E" w:rsidR="00832DCC" w:rsidRPr="00832DCC" w:rsidRDefault="00832DCC" w:rsidP="00CD0E14">
      <w:pPr>
        <w:pStyle w:val="SingleTxtG"/>
        <w:ind w:leftChars="71" w:left="566" w:right="141" w:hangingChars="212" w:hanging="424"/>
      </w:pPr>
      <w:r>
        <w:t>3.</w:t>
      </w:r>
      <w:r>
        <w:tab/>
      </w:r>
      <w:r>
        <w:t>会議には以下の国連機関が参加した</w:t>
      </w:r>
      <w:r>
        <w:t>:</w:t>
      </w:r>
      <w:r w:rsidR="00CD0E14">
        <w:t xml:space="preserve"> </w:t>
      </w:r>
      <w:r>
        <w:t>ECE</w:t>
      </w:r>
      <w:r>
        <w:t>持続可能な交通部門、国連貿易開発会議</w:t>
      </w:r>
      <w:r>
        <w:t xml:space="preserve"> (UNCTAD) </w:t>
      </w:r>
      <w:r>
        <w:t>、国際貿易センター</w:t>
      </w:r>
      <w:r>
        <w:t xml:space="preserve"> (ITC) </w:t>
      </w:r>
      <w:r>
        <w:t>、絶滅のおそれのある野生動植物の種の国際取引に関する条約</w:t>
      </w:r>
      <w:r>
        <w:t xml:space="preserve"> (CITES) </w:t>
      </w:r>
      <w:r>
        <w:t>。会合には、グローバルスタンダード</w:t>
      </w:r>
      <w:r>
        <w:t xml:space="preserve">1 (GS 1) </w:t>
      </w:r>
      <w:r>
        <w:t>、</w:t>
      </w:r>
      <w:r w:rsidRPr="00EB1435">
        <w:rPr>
          <w:highlight w:val="yellow"/>
        </w:rPr>
        <w:t>オブザーバー組織のアジア太平洋貿易円滑化協議会</w:t>
      </w:r>
      <w:r w:rsidRPr="00EB1435">
        <w:rPr>
          <w:highlight w:val="yellow"/>
        </w:rPr>
        <w:t xml:space="preserve"> (AFACT) </w:t>
      </w:r>
      <w:r w:rsidRPr="00EB1435">
        <w:rPr>
          <w:highlight w:val="yellow"/>
        </w:rPr>
        <w:t>の非政府組織が参加</w:t>
      </w:r>
      <w:r>
        <w:t>した。</w:t>
      </w:r>
    </w:p>
    <w:p w14:paraId="54768285" w14:textId="6E7D2F27" w:rsidR="00743D48" w:rsidRDefault="00832DCC" w:rsidP="00CD0E14">
      <w:pPr>
        <w:pStyle w:val="SingleTxtG"/>
        <w:ind w:leftChars="71" w:left="566" w:right="141" w:hangingChars="212" w:hanging="424"/>
      </w:pPr>
      <w:r>
        <w:t>4.</w:t>
      </w:r>
      <w:r>
        <w:tab/>
      </w:r>
      <w:r>
        <w:t>欧州経済委員会</w:t>
      </w:r>
      <w:r>
        <w:t xml:space="preserve"> </w:t>
      </w:r>
      <w:r w:rsidRPr="00EB1435">
        <w:rPr>
          <w:highlight w:val="yellow"/>
        </w:rPr>
        <w:t xml:space="preserve">(ECE) </w:t>
      </w:r>
      <w:r w:rsidRPr="00EB1435">
        <w:rPr>
          <w:highlight w:val="yellow"/>
        </w:rPr>
        <w:t>事務局次長</w:t>
      </w:r>
      <w:r>
        <w:t>は、代表団を直接およびオンラインで歓迎し、国際貿易に影響を及ぼす世界的な課題に対処するための貢献を含め、</w:t>
      </w:r>
      <w:r w:rsidR="00042939">
        <w:t>UN/CEFACT</w:t>
      </w:r>
      <w:r>
        <w:t>の活動の価値と関連性を強調した。</w:t>
      </w:r>
      <w:r w:rsidR="00E2612A">
        <w:rPr>
          <w:rFonts w:hint="eastAsia"/>
          <w:lang w:eastAsia="ja-JP"/>
        </w:rPr>
        <w:t>また</w:t>
      </w:r>
      <w:r>
        <w:t>、</w:t>
      </w:r>
      <w:r w:rsidRPr="00EB1435">
        <w:rPr>
          <w:rStyle w:val="af6"/>
          <w:color w:val="0E101A"/>
          <w:highlight w:val="yellow"/>
        </w:rPr>
        <w:t>UNECE</w:t>
      </w:r>
      <w:r w:rsidRPr="00EB1435">
        <w:rPr>
          <w:rStyle w:val="af6"/>
          <w:color w:val="0E101A"/>
          <w:highlight w:val="yellow"/>
        </w:rPr>
        <w:t>地域における持続可能な開発のためのデジタルとグリーンの変革</w:t>
      </w:r>
      <w:r w:rsidR="00CD0E14">
        <w:rPr>
          <w:rStyle w:val="af6"/>
          <w:i w:val="0"/>
          <w:iCs w:val="0"/>
          <w:color w:val="0E101A"/>
          <w:lang w:eastAsia="ja-JP"/>
        </w:rPr>
        <w:t xml:space="preserve"> </w:t>
      </w:r>
      <w:r>
        <w:t>に焦点を当てた</w:t>
      </w:r>
      <w:r>
        <w:t>ECE</w:t>
      </w:r>
      <w:r>
        <w:t>の次の第</w:t>
      </w:r>
      <w:r>
        <w:t>70</w:t>
      </w:r>
      <w:r>
        <w:t>回セッションを強調した。</w:t>
      </w:r>
      <w:r>
        <w:t>UN/CEFACT</w:t>
      </w:r>
      <w:r>
        <w:t>は、</w:t>
      </w:r>
      <w:r>
        <w:rPr>
          <w:rStyle w:val="af6"/>
          <w:i w:val="0"/>
          <w:iCs w:val="0"/>
          <w:color w:val="0E101A"/>
        </w:rPr>
        <w:t>既存および将来の組織または活動を考慮して、これらの努力に</w:t>
      </w:r>
      <w:r>
        <w:t>大きく貢献できるべきである。</w:t>
      </w:r>
      <w:r w:rsidR="00E2612A">
        <w:rPr>
          <w:rFonts w:hint="eastAsia"/>
          <w:lang w:eastAsia="ja-JP"/>
        </w:rPr>
        <w:t>事務局次長</w:t>
      </w:r>
      <w:r>
        <w:t>はまた、マルチモーダルサプライチェーンの関連側面について、</w:t>
      </w:r>
      <w:r>
        <w:t>ECE</w:t>
      </w:r>
      <w:r>
        <w:t>のサブプログラム、例えば経済協力貿易課</w:t>
      </w:r>
      <w:r>
        <w:t xml:space="preserve"> (ECTD) </w:t>
      </w:r>
      <w:r>
        <w:t>と運輸課の間の分野横断的な協力の重要性を強調した。</w:t>
      </w:r>
    </w:p>
    <w:p w14:paraId="32934D60" w14:textId="08D2217E" w:rsidR="00FA621D" w:rsidRDefault="00675CE5" w:rsidP="00CD0E14">
      <w:pPr>
        <w:pStyle w:val="SingleTxtG"/>
        <w:ind w:leftChars="71" w:left="566" w:right="141" w:hangingChars="212" w:hanging="424"/>
      </w:pPr>
      <w:r>
        <w:t>5.</w:t>
      </w:r>
      <w:r>
        <w:tab/>
      </w:r>
      <w:r w:rsidRPr="00EB1435">
        <w:rPr>
          <w:highlight w:val="yellow"/>
        </w:rPr>
        <w:t>ECTD</w:t>
      </w:r>
      <w:r w:rsidR="00E2612A" w:rsidRPr="00EB1435">
        <w:rPr>
          <w:rFonts w:hint="eastAsia"/>
          <w:highlight w:val="yellow"/>
          <w:lang w:eastAsia="ja-JP"/>
        </w:rPr>
        <w:t xml:space="preserve"> Director</w:t>
      </w:r>
      <w:r>
        <w:t>が会議</w:t>
      </w:r>
      <w:r w:rsidR="00E2612A">
        <w:rPr>
          <w:rFonts w:hint="eastAsia"/>
          <w:lang w:eastAsia="ja-JP"/>
        </w:rPr>
        <w:t>開催を宣言し</w:t>
      </w:r>
      <w:r>
        <w:t>、特に前回の本会議以降の</w:t>
      </w:r>
      <w:r w:rsidR="00042939">
        <w:t>UN/CEFACT</w:t>
      </w:r>
      <w:r>
        <w:t>の数多くの成果を強調し、専門家、</w:t>
      </w:r>
      <w:r w:rsidR="00DF01D5">
        <w:rPr>
          <w:rFonts w:hint="eastAsia"/>
          <w:lang w:eastAsia="ja-JP"/>
        </w:rPr>
        <w:t>議長団</w:t>
      </w:r>
      <w:r>
        <w:t>、事務局の貢献に感謝した。</w:t>
      </w:r>
      <w:r w:rsidR="00CD0E14">
        <w:rPr>
          <w:rFonts w:hint="eastAsia"/>
          <w:lang w:eastAsia="ja-JP"/>
        </w:rPr>
        <w:t>D</w:t>
      </w:r>
      <w:r w:rsidR="00CD0E14">
        <w:rPr>
          <w:lang w:eastAsia="ja-JP"/>
        </w:rPr>
        <w:t>irector</w:t>
      </w:r>
      <w:r>
        <w:t>は、改正された</w:t>
      </w:r>
      <w:r>
        <w:rPr>
          <w:i/>
          <w:iCs/>
        </w:rPr>
        <w:t>ECE</w:t>
      </w:r>
      <w:r>
        <w:rPr>
          <w:i/>
          <w:iCs/>
        </w:rPr>
        <w:t>レイアウトキーに関する勧告第</w:t>
      </w:r>
      <w:r>
        <w:rPr>
          <w:i/>
          <w:iCs/>
        </w:rPr>
        <w:t>2</w:t>
      </w:r>
      <w:r>
        <w:rPr>
          <w:i/>
          <w:iCs/>
        </w:rPr>
        <w:t>号</w:t>
      </w:r>
      <w:r>
        <w:t>、</w:t>
      </w:r>
      <w:r>
        <w:t>ECE</w:t>
      </w:r>
      <w:r>
        <w:t>の第</w:t>
      </w:r>
      <w:r>
        <w:t>60</w:t>
      </w:r>
      <w:r>
        <w:t>回会合の成果をフォローアップし、</w:t>
      </w:r>
      <w:r>
        <w:t>ECE</w:t>
      </w:r>
      <w:r>
        <w:t>の第</w:t>
      </w:r>
      <w:r>
        <w:t>70</w:t>
      </w:r>
      <w:r>
        <w:t>回会合の準備に貢献する持</w:t>
      </w:r>
      <w:r w:rsidRPr="00EB1435">
        <w:rPr>
          <w:highlight w:val="yellow"/>
        </w:rPr>
        <w:t>続可能な開発と循環経済を支援する成果物</w:t>
      </w:r>
      <w:r>
        <w:t>、</w:t>
      </w:r>
      <w:r>
        <w:t>eDATA</w:t>
      </w:r>
      <w:r>
        <w:t>管理、金融・支払、貿易手続促進領域の報告書など、本会議の議題に関する主要成果物の関連性を強調した。</w:t>
      </w:r>
    </w:p>
    <w:p w14:paraId="5C4A5DD9" w14:textId="63176A7A" w:rsidR="00832DCC" w:rsidRPr="00832DCC" w:rsidRDefault="00993E9B" w:rsidP="00CD0E14">
      <w:pPr>
        <w:pStyle w:val="SingleTxtG"/>
        <w:ind w:leftChars="71" w:left="566" w:right="141" w:hangingChars="212" w:hanging="424"/>
      </w:pPr>
      <w:r>
        <w:t>6.</w:t>
      </w:r>
      <w:r>
        <w:tab/>
      </w:r>
      <w:r w:rsidRPr="00EB1435">
        <w:rPr>
          <w:highlight w:val="yellow"/>
        </w:rPr>
        <w:t>COVID-19</w:t>
      </w:r>
      <w:r>
        <w:t>の復興段階において特に重要であった能力構築作業の重要性は、</w:t>
      </w:r>
      <w:r>
        <w:t>ECTD</w:t>
      </w:r>
      <w:r>
        <w:t>局長の冒頭発言で強調された。</w:t>
      </w:r>
      <w:r>
        <w:t>ECE</w:t>
      </w:r>
      <w:r>
        <w:t>加盟国は、</w:t>
      </w:r>
      <w:r>
        <w:rPr>
          <w:i/>
          <w:iCs/>
        </w:rPr>
        <w:t>移行経済国におけるデジタル化と持続可能な貿易の推進に関する政策概要</w:t>
      </w:r>
      <w:r>
        <w:t>、</w:t>
      </w:r>
      <w:r>
        <w:rPr>
          <w:i/>
          <w:iCs/>
          <w:lang w:val="en-US"/>
        </w:rPr>
        <w:t>グルジアから中央アジア諸国への医薬品輸出のためのビジネスプロセス分析</w:t>
      </w:r>
      <w:r>
        <w:t>、</w:t>
      </w:r>
      <w:r>
        <w:rPr>
          <w:i/>
          <w:iCs/>
          <w:lang w:val="en-US"/>
        </w:rPr>
        <w:t>中小企業が手続きをデジタル化するのを支援するためのトレーニング資料</w:t>
      </w:r>
      <w:r>
        <w:t>の調査結果と勧告から恩恵を受ける。今後、</w:t>
      </w:r>
      <w:r w:rsidRPr="00EB1435">
        <w:rPr>
          <w:highlight w:val="yellow"/>
        </w:rPr>
        <w:t>特に公衆衛生危機や地域紛争に続くサプライチェーンの継続的な混乱に取り組む</w:t>
      </w:r>
      <w:r>
        <w:t>という文脈において、</w:t>
      </w:r>
      <w:r w:rsidR="00042939">
        <w:t>UN/CEFACT</w:t>
      </w:r>
      <w:r>
        <w:t>の活動の継続的な関連性と強化された影響を確保することの重要性を強調した。</w:t>
      </w:r>
    </w:p>
    <w:p w14:paraId="4145EA52" w14:textId="69D2563D" w:rsidR="006E4414" w:rsidRDefault="00993E9B" w:rsidP="00CD0E14">
      <w:pPr>
        <w:pStyle w:val="SingleTxtG"/>
        <w:ind w:leftChars="71" w:left="566" w:right="141" w:hangingChars="212" w:hanging="424"/>
      </w:pPr>
      <w:r>
        <w:t>7.</w:t>
      </w:r>
      <w:r>
        <w:tab/>
      </w:r>
      <w:r w:rsidR="00042939" w:rsidRPr="00EB1435">
        <w:rPr>
          <w:highlight w:val="yellow"/>
        </w:rPr>
        <w:t>UN/CEFACT</w:t>
      </w:r>
      <w:r w:rsidRPr="00EB1435">
        <w:rPr>
          <w:highlight w:val="yellow"/>
        </w:rPr>
        <w:t>議長</w:t>
      </w:r>
      <w:r>
        <w:t>は、世界中からの代表団を歓迎した。彼女は、</w:t>
      </w:r>
      <w:r w:rsidR="00042939" w:rsidRPr="00EB1435">
        <w:rPr>
          <w:highlight w:val="yellow"/>
        </w:rPr>
        <w:t>UN/CEFACT</w:t>
      </w:r>
      <w:r w:rsidRPr="00EB1435">
        <w:rPr>
          <w:highlight w:val="yellow"/>
        </w:rPr>
        <w:t>加盟国に対し、ボランティアの専門家以外にも事務局に提供するより多くの資源を求める</w:t>
      </w:r>
      <w:r>
        <w:t>よう求めた。また、</w:t>
      </w:r>
      <w:r w:rsidR="00042939">
        <w:t>UN/CEFACT</w:t>
      </w:r>
      <w:r w:rsidR="00DF01D5">
        <w:rPr>
          <w:rFonts w:hint="eastAsia"/>
          <w:lang w:eastAsia="ja-JP"/>
        </w:rPr>
        <w:t>議長団</w:t>
      </w:r>
      <w:r>
        <w:t>の後継者計画の重要性についても言及した。彼女は、昨年選出された副議長は任期</w:t>
      </w:r>
      <w:r>
        <w:t>2</w:t>
      </w:r>
      <w:r>
        <w:t>年目であり、議長は</w:t>
      </w:r>
      <w:r>
        <w:t>2</w:t>
      </w:r>
      <w:r>
        <w:t>期目であることに言及した。そのため、彼女は</w:t>
      </w:r>
      <w:r w:rsidRPr="00EB1435">
        <w:rPr>
          <w:highlight w:val="yellow"/>
        </w:rPr>
        <w:t>新しい</w:t>
      </w:r>
      <w:r w:rsidR="00042939" w:rsidRPr="00EB1435">
        <w:rPr>
          <w:highlight w:val="yellow"/>
        </w:rPr>
        <w:t>UN/CEFACT</w:t>
      </w:r>
      <w:r w:rsidR="00DF01D5" w:rsidRPr="00EB1435">
        <w:rPr>
          <w:rFonts w:hint="eastAsia"/>
          <w:highlight w:val="yellow"/>
          <w:lang w:eastAsia="ja-JP"/>
        </w:rPr>
        <w:t>議長団</w:t>
      </w:r>
      <w:r>
        <w:t>の職員を探すことにメンバーの注意を</w:t>
      </w:r>
      <w:r w:rsidR="00DF01D5">
        <w:rPr>
          <w:rFonts w:hint="eastAsia"/>
          <w:lang w:eastAsia="ja-JP"/>
        </w:rPr>
        <w:t>促した</w:t>
      </w:r>
      <w:r>
        <w:t>。</w:t>
      </w:r>
    </w:p>
    <w:p w14:paraId="7A588D81" w14:textId="22FD6B44" w:rsidR="00D96A69" w:rsidRDefault="003110D4" w:rsidP="00F60B8B">
      <w:pPr>
        <w:pStyle w:val="HChG"/>
        <w:tabs>
          <w:tab w:val="clear" w:pos="851"/>
          <w:tab w:val="right" w:pos="567"/>
        </w:tabs>
        <w:ind w:left="709" w:hanging="567"/>
      </w:pPr>
      <w:r>
        <w:lastRenderedPageBreak/>
        <w:tab/>
        <w:t>II</w:t>
      </w:r>
      <w:r w:rsidR="00BB3AA0">
        <w:rPr>
          <w:rFonts w:hint="eastAsia"/>
          <w:lang w:eastAsia="ja-JP"/>
        </w:rPr>
        <w:t xml:space="preserve">. </w:t>
      </w:r>
      <w:r w:rsidR="00BB3AA0">
        <w:rPr>
          <w:lang w:eastAsia="ja-JP"/>
        </w:rPr>
        <w:t>Adoption of the agenda (agenda item 1)</w:t>
      </w:r>
      <w:r w:rsidR="00FE5616">
        <w:rPr>
          <w:rFonts w:hint="eastAsia"/>
          <w:lang w:eastAsia="ja-JP"/>
        </w:rPr>
        <w:t xml:space="preserve">　</w:t>
      </w:r>
      <w:r w:rsidRPr="00BB3AA0">
        <w:rPr>
          <w:sz w:val="24"/>
          <w:szCs w:val="24"/>
        </w:rPr>
        <w:t>議題の採択</w:t>
      </w:r>
      <w:r w:rsidRPr="00BB3AA0">
        <w:rPr>
          <w:sz w:val="24"/>
          <w:szCs w:val="24"/>
        </w:rPr>
        <w:t xml:space="preserve"> </w:t>
      </w:r>
    </w:p>
    <w:p w14:paraId="6614CAE2" w14:textId="440F1853" w:rsidR="00F7066C" w:rsidRDefault="00993E9B" w:rsidP="00BB3AA0">
      <w:pPr>
        <w:pStyle w:val="SingleTxtG"/>
        <w:ind w:leftChars="142" w:left="566" w:right="141" w:hangingChars="141" w:hanging="282"/>
      </w:pPr>
      <w:r>
        <w:t>8.</w:t>
      </w:r>
      <w:r>
        <w:tab/>
      </w:r>
      <w:r>
        <w:t>事務局は本会議に対し、議題案</w:t>
      </w:r>
      <w:r>
        <w:t>ECE/TRADE/C/CEFACT/2022/1</w:t>
      </w:r>
      <w:r>
        <w:t>が修正されたことを通知し、修正された議題案</w:t>
      </w:r>
      <w:r>
        <w:t>ECE/TRADE/C/CEFACT/2022/1/Rev .1</w:t>
      </w:r>
      <w:r>
        <w:t>を提示した。</w:t>
      </w:r>
    </w:p>
    <w:p w14:paraId="6E62629E" w14:textId="4303362E" w:rsidR="00694D9E" w:rsidRDefault="00D91C0A" w:rsidP="00BB3AA0">
      <w:pPr>
        <w:pStyle w:val="SingleTxtG"/>
        <w:ind w:leftChars="142" w:left="566" w:right="141" w:hangingChars="141" w:hanging="282"/>
      </w:pPr>
      <w:r>
        <w:t>9.</w:t>
      </w:r>
      <w:r>
        <w:tab/>
      </w:r>
      <w:r>
        <w:t>修正には、追加文書、更新されたタイトル、非公式文書の追加翻訳、議題項目</w:t>
      </w:r>
      <w:r>
        <w:t>10</w:t>
      </w:r>
      <w:r>
        <w:t>と</w:t>
      </w:r>
      <w:r>
        <w:t>11</w:t>
      </w:r>
      <w:r>
        <w:t>の統合、およびハイブリッド会議のタイミングの制約に対応するための暫定スケジュールの修正が含まれていた。</w:t>
      </w:r>
    </w:p>
    <w:p w14:paraId="5A1C0EF0" w14:textId="3D69DC1A" w:rsidR="003110D4" w:rsidRDefault="00F7066C" w:rsidP="00BB3AA0">
      <w:pPr>
        <w:pStyle w:val="SingleTxtG"/>
        <w:ind w:leftChars="142" w:left="567" w:right="141" w:hangingChars="141" w:hanging="283"/>
      </w:pPr>
      <w:r>
        <w:rPr>
          <w:b/>
          <w:bCs/>
        </w:rPr>
        <w:t>本会議決定</w:t>
      </w:r>
      <w:r>
        <w:rPr>
          <w:b/>
          <w:bCs/>
        </w:rPr>
        <w:t>22-01:</w:t>
      </w:r>
      <w:r>
        <w:t>本会議は、</w:t>
      </w:r>
      <w:r>
        <w:rPr>
          <w:i/>
          <w:iCs/>
        </w:rPr>
        <w:t>改訂された第</w:t>
      </w:r>
      <w:r>
        <w:rPr>
          <w:i/>
          <w:iCs/>
        </w:rPr>
        <w:t>28</w:t>
      </w:r>
      <w:r>
        <w:rPr>
          <w:i/>
          <w:iCs/>
        </w:rPr>
        <w:t>回会期の暫定議題</w:t>
      </w:r>
      <w:r>
        <w:t xml:space="preserve"> (ECE/TRADE/C/CEFACT/2022/1/Rev .1) </w:t>
      </w:r>
      <w:r>
        <w:t>を採択した。</w:t>
      </w:r>
    </w:p>
    <w:p w14:paraId="7E9C6C17" w14:textId="3CBDB9A3" w:rsidR="0090384E" w:rsidRPr="00BB3AA0" w:rsidRDefault="00F7066C" w:rsidP="00BB3AA0">
      <w:pPr>
        <w:pStyle w:val="HChG"/>
        <w:tabs>
          <w:tab w:val="clear" w:pos="851"/>
          <w:tab w:val="right" w:pos="567"/>
        </w:tabs>
        <w:ind w:left="567" w:hanging="425"/>
        <w:rPr>
          <w:sz w:val="24"/>
          <w:szCs w:val="24"/>
          <w:lang w:eastAsia="ja-JP"/>
        </w:rPr>
      </w:pPr>
      <w:r>
        <w:tab/>
        <w:t>III</w:t>
      </w:r>
      <w:r w:rsidR="00BB3AA0">
        <w:rPr>
          <w:rFonts w:hint="eastAsia"/>
          <w:lang w:eastAsia="ja-JP"/>
        </w:rPr>
        <w:t>.</w:t>
      </w:r>
      <w:r w:rsidR="00BB3AA0">
        <w:rPr>
          <w:lang w:eastAsia="ja-JP"/>
        </w:rPr>
        <w:t xml:space="preserve"> Matters arising since the twenty-seventh session (agenda item 2) </w:t>
      </w:r>
      <w:r w:rsidRPr="00B66CEE">
        <w:rPr>
          <w:sz w:val="24"/>
          <w:szCs w:val="24"/>
          <w:highlight w:val="yellow"/>
        </w:rPr>
        <w:t>第</w:t>
      </w:r>
      <w:r w:rsidRPr="00B66CEE">
        <w:rPr>
          <w:sz w:val="24"/>
          <w:szCs w:val="24"/>
          <w:highlight w:val="yellow"/>
        </w:rPr>
        <w:t>27</w:t>
      </w:r>
      <w:r w:rsidRPr="00B66CEE">
        <w:rPr>
          <w:sz w:val="24"/>
          <w:szCs w:val="24"/>
          <w:highlight w:val="yellow"/>
        </w:rPr>
        <w:t>回会期以降に生じた事項</w:t>
      </w:r>
      <w:r w:rsidR="00BB3AA0" w:rsidRPr="00BB3AA0">
        <w:rPr>
          <w:sz w:val="24"/>
          <w:szCs w:val="24"/>
        </w:rPr>
        <w:t xml:space="preserve"> </w:t>
      </w:r>
    </w:p>
    <w:p w14:paraId="2EE1C298" w14:textId="1E6B7124" w:rsidR="00334D10" w:rsidRDefault="00D947A1" w:rsidP="00BB3AA0">
      <w:pPr>
        <w:pStyle w:val="SingleTxtG"/>
        <w:ind w:leftChars="71" w:left="566" w:right="141" w:hangingChars="212" w:hanging="424"/>
      </w:pPr>
      <w:r>
        <w:t>10.</w:t>
      </w:r>
      <w:r>
        <w:tab/>
      </w:r>
      <w:r>
        <w:t>事務局は、文書</w:t>
      </w:r>
      <w:r>
        <w:t>ECE/TRADE/C/CEFACT/2022/3</w:t>
      </w:r>
      <w:r>
        <w:rPr>
          <w:i/>
          <w:iCs/>
        </w:rPr>
        <w:t>第</w:t>
      </w:r>
      <w:r>
        <w:rPr>
          <w:i/>
          <w:iCs/>
        </w:rPr>
        <w:t>27</w:t>
      </w:r>
      <w:r>
        <w:rPr>
          <w:i/>
          <w:iCs/>
        </w:rPr>
        <w:t>回会合以降に生じた事項</w:t>
      </w:r>
      <w:r>
        <w:t>を提示した。この文書は、</w:t>
      </w:r>
      <w:r>
        <w:t>UN/CEFACT</w:t>
      </w:r>
      <w:r>
        <w:t>の作業における主な進展の概要と、</w:t>
      </w:r>
      <w:r>
        <w:t>ECE</w:t>
      </w:r>
      <w:r>
        <w:t>および</w:t>
      </w:r>
      <w:r>
        <w:t>UN/CEFACT</w:t>
      </w:r>
      <w:r>
        <w:t>の勧告、貿易円滑化および電子ビジネスのための基準およびツールの実施を強化するための</w:t>
      </w:r>
      <w:r>
        <w:t>ECE</w:t>
      </w:r>
      <w:r>
        <w:t>事務局のアウトリーチおよび支援活動の概要を提供する。このレポートの主な特徴は次のとおりです。</w:t>
      </w:r>
    </w:p>
    <w:p w14:paraId="47C6F72E" w14:textId="466B9D69" w:rsidR="0057605C" w:rsidRDefault="002E4919" w:rsidP="00BB3AA0">
      <w:pPr>
        <w:pStyle w:val="SingleTxtG"/>
        <w:numPr>
          <w:ilvl w:val="0"/>
          <w:numId w:val="32"/>
        </w:numPr>
        <w:ind w:leftChars="284" w:left="992" w:right="141" w:hangingChars="212" w:hanging="424"/>
      </w:pPr>
      <w:r>
        <w:t>電子証明書だけでなく、デジタル化や非物質化を通じたものを含め、</w:t>
      </w:r>
      <w:r w:rsidRPr="00B66CEE">
        <w:rPr>
          <w:highlight w:val="yellow"/>
        </w:rPr>
        <w:t>サプライチェーンの混乱に対処するための取り組み</w:t>
      </w:r>
      <w:r>
        <w:t>。これらは、</w:t>
      </w:r>
      <w:r>
        <w:rPr>
          <w:i/>
          <w:iCs/>
        </w:rPr>
        <w:t>UNECE</w:t>
      </w:r>
      <w:r>
        <w:rPr>
          <w:i/>
          <w:iCs/>
        </w:rPr>
        <w:t>地域の持続可能な開発のためのデジタルとグリーンの変革</w:t>
      </w:r>
      <w:r>
        <w:t>に焦点を当てた、</w:t>
      </w:r>
      <w:r>
        <w:t>2023</w:t>
      </w:r>
      <w:r>
        <w:t>年</w:t>
      </w:r>
      <w:r>
        <w:t>4</w:t>
      </w:r>
      <w:r>
        <w:t>月に予定されている</w:t>
      </w:r>
      <w:r>
        <w:t>ECE</w:t>
      </w:r>
      <w:r>
        <w:t>の第</w:t>
      </w:r>
      <w:r>
        <w:t>70</w:t>
      </w:r>
      <w:r>
        <w:t>代委員会に沿ったものである。</w:t>
      </w:r>
    </w:p>
    <w:p w14:paraId="43D4BFBB" w14:textId="1BF42F10" w:rsidR="002436E9" w:rsidRDefault="00CE299F" w:rsidP="00BB3AA0">
      <w:pPr>
        <w:pStyle w:val="SingleTxtG"/>
        <w:numPr>
          <w:ilvl w:val="0"/>
          <w:numId w:val="32"/>
        </w:numPr>
        <w:ind w:leftChars="284" w:left="992" w:right="141" w:hangingChars="212" w:hanging="424"/>
      </w:pPr>
      <w:r>
        <w:t>ECE</w:t>
      </w:r>
      <w:r>
        <w:t>の第</w:t>
      </w:r>
      <w:r>
        <w:t>60</w:t>
      </w:r>
      <w:r>
        <w:t>回委員会の成果として、</w:t>
      </w:r>
      <w:r w:rsidRPr="00B66CEE">
        <w:rPr>
          <w:highlight w:val="yellow"/>
        </w:rPr>
        <w:t>ECE</w:t>
      </w:r>
      <w:r w:rsidRPr="00B66CEE">
        <w:rPr>
          <w:highlight w:val="yellow"/>
        </w:rPr>
        <w:t>加盟国の持続可能な開発と循環経済への移行</w:t>
      </w:r>
      <w:r>
        <w:t>を支援する事務局の作業。この作業には、循環経済における持続可能なバリューチェーンの環境、社会、ガバナンスのトレーサビリティに関する新たに設立された専門家チームが含まれる</w:t>
      </w:r>
      <w:r>
        <w:t>;</w:t>
      </w:r>
    </w:p>
    <w:p w14:paraId="60DB6B2A" w14:textId="46CE67F0" w:rsidR="0051150E" w:rsidRDefault="00631C1B" w:rsidP="00BB3AA0">
      <w:pPr>
        <w:pStyle w:val="SingleTxtG"/>
        <w:numPr>
          <w:ilvl w:val="0"/>
          <w:numId w:val="32"/>
        </w:numPr>
        <w:ind w:leftChars="284" w:left="992" w:right="141" w:hangingChars="212" w:hanging="424"/>
      </w:pPr>
      <w:r>
        <w:t>グルジア、キルギス共和国、ブラジル、デンマーク、エジプト、ドイツ、インド、イタリア、ペルー、スイス、ウズベキスタン、英国に提供された能力構築活動と技術援助</w:t>
      </w:r>
      <w:r>
        <w:t>;</w:t>
      </w:r>
    </w:p>
    <w:p w14:paraId="1BC87D68" w14:textId="127A9F0A" w:rsidR="00237DE0" w:rsidRDefault="008656FD" w:rsidP="00BB3AA0">
      <w:pPr>
        <w:pStyle w:val="SingleTxtG"/>
        <w:numPr>
          <w:ilvl w:val="0"/>
          <w:numId w:val="32"/>
        </w:numPr>
        <w:ind w:leftChars="284" w:left="992" w:right="141" w:hangingChars="212" w:hanging="424"/>
      </w:pPr>
      <w:r>
        <w:t>ECE</w:t>
      </w:r>
      <w:r>
        <w:t>持続可能交通課、</w:t>
      </w:r>
      <w:r>
        <w:t>ECE</w:t>
      </w:r>
      <w:r>
        <w:t>市場アクセス課、国連貿易開発会議</w:t>
      </w:r>
      <w:r>
        <w:t xml:space="preserve"> (UNCTAD) </w:t>
      </w:r>
      <w:r>
        <w:t>、国際貿易センター</w:t>
      </w:r>
      <w:r>
        <w:t xml:space="preserve"> (ITC) </w:t>
      </w:r>
      <w:r>
        <w:t>、その他の国連地域委員会などの他の国連機関との協力</w:t>
      </w:r>
      <w:r>
        <w:t>;</w:t>
      </w:r>
      <w:r w:rsidR="003E23FE">
        <w:rPr>
          <w:rFonts w:hint="eastAsia"/>
          <w:lang w:eastAsia="ja-JP"/>
        </w:rPr>
        <w:t xml:space="preserve">　</w:t>
      </w:r>
      <w:r>
        <w:t>および</w:t>
      </w:r>
    </w:p>
    <w:p w14:paraId="08ED312F" w14:textId="71B6DDEA" w:rsidR="003A1587" w:rsidRDefault="008656FD" w:rsidP="00BB3AA0">
      <w:pPr>
        <w:pStyle w:val="SingleTxtG"/>
        <w:numPr>
          <w:ilvl w:val="0"/>
          <w:numId w:val="32"/>
        </w:numPr>
        <w:ind w:leftChars="284" w:left="992" w:right="141" w:hangingChars="212" w:hanging="424"/>
      </w:pPr>
      <w:r>
        <w:t>ユーラシア経済委員会や欧州委員会の移動・運輸総局</w:t>
      </w:r>
      <w:r>
        <w:t xml:space="preserve"> (DG MOVE) </w:t>
      </w:r>
      <w:r>
        <w:t>などの地域機関との連携</w:t>
      </w:r>
      <w:r>
        <w:t>;</w:t>
      </w:r>
      <w:r>
        <w:t>租税・関税同盟総局</w:t>
      </w:r>
      <w:r>
        <w:t xml:space="preserve"> (DG TAXUD);</w:t>
      </w:r>
      <w:r>
        <w:t>海洋水産総局</w:t>
      </w:r>
      <w:r>
        <w:t xml:space="preserve"> (DG MARE);</w:t>
      </w:r>
      <w:r>
        <w:t>情報学総局</w:t>
      </w:r>
      <w:r>
        <w:t xml:space="preserve"> (DG DIGIT);</w:t>
      </w:r>
      <w:r>
        <w:t>国際パートナーシップ総局</w:t>
      </w:r>
      <w:r>
        <w:t xml:space="preserve"> (DG INTPA);</w:t>
      </w:r>
      <w:r>
        <w:t>および国内市場・産業・起業・中小企業総局</w:t>
      </w:r>
      <w:r>
        <w:t xml:space="preserve"> (DG GROW) </w:t>
      </w:r>
      <w:r>
        <w:t>。</w:t>
      </w:r>
    </w:p>
    <w:p w14:paraId="0E911545" w14:textId="54FDF5EA" w:rsidR="001F7739" w:rsidRDefault="00993E9B" w:rsidP="00BB3AA0">
      <w:pPr>
        <w:pStyle w:val="SingleTxtG"/>
        <w:ind w:leftChars="71" w:left="566" w:right="141" w:hangingChars="212" w:hanging="424"/>
        <w:rPr>
          <w:lang w:val="en-US"/>
        </w:rPr>
      </w:pPr>
      <w:r>
        <w:t>11.</w:t>
      </w:r>
      <w:r>
        <w:tab/>
        <w:t>ECE</w:t>
      </w:r>
      <w:r>
        <w:t>地域アドバイザーは、国連中央アジア経済特別計画</w:t>
      </w:r>
      <w:r>
        <w:t xml:space="preserve"> (SPECA) </w:t>
      </w:r>
      <w:r>
        <w:t>、世界貿易機関</w:t>
      </w:r>
      <w:r>
        <w:t xml:space="preserve"> (WTO) </w:t>
      </w:r>
      <w:r>
        <w:t>貿易円滑化協定</w:t>
      </w:r>
      <w:r>
        <w:t xml:space="preserve"> (TFA) </w:t>
      </w:r>
      <w:r>
        <w:t>の実施に関する支援、</w:t>
      </w:r>
      <w:r w:rsidRPr="00B66CEE">
        <w:rPr>
          <w:highlight w:val="yellow"/>
        </w:rPr>
        <w:t>UN/CEFACT</w:t>
      </w:r>
      <w:r w:rsidRPr="00B66CEE">
        <w:rPr>
          <w:highlight w:val="yellow"/>
        </w:rPr>
        <w:t>のセマンティック基準と参照データモデルの実施に関連する活動の概要</w:t>
      </w:r>
      <w:r>
        <w:t>を示す報告書</w:t>
      </w:r>
      <w:r>
        <w:t xml:space="preserve"> (ECE/TRADE/CEFACT/2022/4) </w:t>
      </w:r>
      <w:r>
        <w:t>を提出した。</w:t>
      </w:r>
    </w:p>
    <w:p w14:paraId="6B0EB4B4" w14:textId="7248B3AB" w:rsidR="00B26985" w:rsidRDefault="2F3D38BF" w:rsidP="00BB3AA0">
      <w:pPr>
        <w:pStyle w:val="SingleTxtG"/>
        <w:ind w:leftChars="71" w:left="568" w:right="141" w:hangingChars="212" w:hanging="426"/>
      </w:pPr>
      <w:r>
        <w:rPr>
          <w:b/>
          <w:bCs/>
        </w:rPr>
        <w:t>本会議決定</w:t>
      </w:r>
      <w:r>
        <w:rPr>
          <w:b/>
          <w:bCs/>
        </w:rPr>
        <w:t>22-02:</w:t>
      </w:r>
      <w:r>
        <w:t>本会議は、</w:t>
      </w:r>
      <w:r>
        <w:rPr>
          <w:i/>
          <w:iCs/>
        </w:rPr>
        <w:t>第</w:t>
      </w:r>
      <w:r>
        <w:rPr>
          <w:i/>
          <w:iCs/>
        </w:rPr>
        <w:t>27</w:t>
      </w:r>
      <w:r>
        <w:rPr>
          <w:i/>
          <w:iCs/>
        </w:rPr>
        <w:t>回目の会合以降に生じた事項</w:t>
      </w:r>
      <w:r>
        <w:t xml:space="preserve"> (ECE/TRADE/C/CEFACT/2022/3) </w:t>
      </w:r>
      <w:r>
        <w:t>に関する報告書に留意し、事務局に対し、</w:t>
      </w:r>
      <w:r>
        <w:t>2023</w:t>
      </w:r>
      <w:r>
        <w:t>年の次回本会議で生じた事項について報告するよう要請した。</w:t>
      </w:r>
    </w:p>
    <w:p w14:paraId="4AF619F6" w14:textId="06F6CE49" w:rsidR="00B2060F" w:rsidRDefault="0041486A" w:rsidP="00BB3AA0">
      <w:pPr>
        <w:pStyle w:val="SingleTxtG"/>
        <w:ind w:leftChars="71" w:left="568" w:right="141" w:hangingChars="212" w:hanging="426"/>
      </w:pPr>
      <w:r>
        <w:rPr>
          <w:b/>
          <w:bCs/>
        </w:rPr>
        <w:t>本会議決定</w:t>
      </w:r>
      <w:r>
        <w:rPr>
          <w:b/>
          <w:bCs/>
        </w:rPr>
        <w:t>22-03:</w:t>
      </w:r>
      <w:r>
        <w:t>本会議は、</w:t>
      </w:r>
      <w:r>
        <w:t>UNECE</w:t>
      </w:r>
      <w:r>
        <w:t>地域アドバイザー</w:t>
      </w:r>
      <w:r>
        <w:t xml:space="preserve"> (ECE/TRADE/C/CEFACT/2022/4) </w:t>
      </w:r>
      <w:r>
        <w:t>からの報告書に留意した。</w:t>
      </w:r>
    </w:p>
    <w:p w14:paraId="460EEBFD" w14:textId="27E5DEBC" w:rsidR="00132E05" w:rsidRDefault="000A784F" w:rsidP="00BB3AA0">
      <w:pPr>
        <w:pStyle w:val="SingleTxtG"/>
        <w:ind w:leftChars="71" w:left="566" w:right="141" w:hangingChars="212" w:hanging="424"/>
        <w:rPr>
          <w:lang w:val="en-US"/>
        </w:rPr>
      </w:pPr>
      <w:r>
        <w:t>12.</w:t>
      </w:r>
      <w:r>
        <w:tab/>
      </w:r>
      <w:r w:rsidRPr="00B66CEE">
        <w:rPr>
          <w:highlight w:val="yellow"/>
        </w:rPr>
        <w:t>ウクライナ代表団</w:t>
      </w:r>
      <w:r>
        <w:t>は、デジタル化と循環経済に関する活動を強調しつつ、</w:t>
      </w:r>
      <w:r>
        <w:t>UN/CEFACT</w:t>
      </w:r>
      <w:r>
        <w:t>とその事務局の活動に謝意を表明した。</w:t>
      </w:r>
      <w:r>
        <w:t>ECE</w:t>
      </w:r>
      <w:r>
        <w:t>貿易円滑化勧告</w:t>
      </w:r>
      <w:r>
        <w:t>No.36</w:t>
      </w:r>
      <w:r>
        <w:t>、</w:t>
      </w:r>
      <w:r>
        <w:t>No.37</w:t>
      </w:r>
      <w:r>
        <w:t>、</w:t>
      </w:r>
      <w:r>
        <w:t>No.44</w:t>
      </w:r>
      <w:r>
        <w:t>、</w:t>
      </w:r>
      <w:r>
        <w:t>No.47</w:t>
      </w:r>
      <w:r>
        <w:t>など、</w:t>
      </w:r>
      <w:r w:rsidR="00042939">
        <w:t>UN/CEFACT</w:t>
      </w:r>
      <w:r>
        <w:t>の主要成果物を強調した。さらに、</w:t>
      </w:r>
      <w:r w:rsidRPr="00B66CEE">
        <w:rPr>
          <w:highlight w:val="yellow"/>
        </w:rPr>
        <w:t>特に地域紛争の文脈における</w:t>
      </w:r>
      <w:r w:rsidR="00042939" w:rsidRPr="00B66CEE">
        <w:rPr>
          <w:highlight w:val="yellow"/>
        </w:rPr>
        <w:t>UN/CEFACT</w:t>
      </w:r>
      <w:r w:rsidRPr="00B66CEE">
        <w:rPr>
          <w:highlight w:val="yellow"/>
        </w:rPr>
        <w:t>活動の関連性を強調し、貿易回廊を前進させることの重要性を強調</w:t>
      </w:r>
      <w:r>
        <w:t>した。</w:t>
      </w:r>
    </w:p>
    <w:p w14:paraId="3F987D22" w14:textId="50FAA666" w:rsidR="006A375A" w:rsidRPr="00935D9D" w:rsidRDefault="000A784F" w:rsidP="00BB3AA0">
      <w:pPr>
        <w:pStyle w:val="SingleTxtG"/>
        <w:ind w:leftChars="71" w:left="566" w:right="141" w:hangingChars="212" w:hanging="424"/>
      </w:pPr>
      <w:r>
        <w:rPr>
          <w:lang w:val="en-US"/>
        </w:rPr>
        <w:t>13.</w:t>
      </w:r>
      <w:r>
        <w:tab/>
      </w:r>
      <w:r w:rsidRPr="00B66CEE">
        <w:rPr>
          <w:highlight w:val="yellow"/>
          <w:lang w:val="en-US"/>
        </w:rPr>
        <w:t>ロシア連邦の代表団</w:t>
      </w:r>
      <w:r>
        <w:rPr>
          <w:lang w:val="en-US"/>
        </w:rPr>
        <w:t>は、報告期間中の</w:t>
      </w:r>
      <w:r>
        <w:rPr>
          <w:lang w:val="en-US"/>
        </w:rPr>
        <w:t>UN/CEFACT</w:t>
      </w:r>
      <w:r>
        <w:rPr>
          <w:lang w:val="en-US"/>
        </w:rPr>
        <w:t>の活動と</w:t>
      </w:r>
      <w:r>
        <w:rPr>
          <w:lang w:val="en-US"/>
        </w:rPr>
        <w:t>WTO TFA</w:t>
      </w:r>
      <w:r>
        <w:rPr>
          <w:lang w:val="en-US"/>
        </w:rPr>
        <w:t>実施への貢献を評価した。キルギス共和国貿易円滑化センターへの</w:t>
      </w:r>
      <w:r>
        <w:rPr>
          <w:lang w:val="en-US"/>
        </w:rPr>
        <w:t>UN/CEFACT</w:t>
      </w:r>
      <w:r>
        <w:rPr>
          <w:lang w:val="en-US"/>
        </w:rPr>
        <w:t>の貢献を歓迎し、循環経済への移行に焦点を当てた優先分野におけるシステムの相互運用性とバリューチェーンの参加者間の協力の確保に取り組む。それは、</w:t>
      </w:r>
      <w:r w:rsidRPr="00B66CEE">
        <w:rPr>
          <w:highlight w:val="yellow"/>
          <w:lang w:val="en-US"/>
        </w:rPr>
        <w:t>循環経済における持続可能なバリューチェーンの環境的、社会的及びガバナンスのトレーサビリティに関する専門家チームの結果と、</w:t>
      </w:r>
      <w:r w:rsidRPr="00B66CEE">
        <w:rPr>
          <w:highlight w:val="yellow"/>
          <w:lang w:val="fr-FR"/>
        </w:rPr>
        <w:t>SPECA</w:t>
      </w:r>
      <w:r w:rsidR="00B66CEE" w:rsidRPr="00B66CEE">
        <w:rPr>
          <w:rFonts w:hint="eastAsia"/>
          <w:highlight w:val="yellow"/>
          <w:lang w:val="fr-FR" w:eastAsia="ja-JP"/>
        </w:rPr>
        <w:t>（</w:t>
      </w:r>
      <w:r w:rsidR="00B66CEE" w:rsidRPr="00B66CEE">
        <w:rPr>
          <w:rFonts w:ascii="Arial" w:hAnsi="Arial" w:cs="Arial"/>
          <w:color w:val="444444"/>
          <w:sz w:val="21"/>
          <w:szCs w:val="21"/>
          <w:shd w:val="clear" w:color="auto" w:fill="FFFFFF"/>
          <w:lang w:val="fr-FR"/>
        </w:rPr>
        <w:t> </w:t>
      </w:r>
      <w:r w:rsidR="00B66CEE" w:rsidRPr="00B66CEE">
        <w:rPr>
          <w:rFonts w:ascii="Arial" w:hAnsi="Arial" w:cs="Arial"/>
          <w:b/>
          <w:bCs/>
          <w:color w:val="444444"/>
          <w:sz w:val="21"/>
          <w:szCs w:val="21"/>
          <w:highlight w:val="yellow"/>
          <w:shd w:val="clear" w:color="auto" w:fill="FFFFFF"/>
          <w:lang w:val="fr-FR"/>
        </w:rPr>
        <w:t xml:space="preserve">Special Programme for the </w:t>
      </w:r>
      <w:r w:rsidR="00B66CEE" w:rsidRPr="00B66CEE">
        <w:rPr>
          <w:rFonts w:ascii="Arial" w:hAnsi="Arial" w:cs="Arial"/>
          <w:b/>
          <w:bCs/>
          <w:color w:val="444444"/>
          <w:sz w:val="21"/>
          <w:szCs w:val="21"/>
          <w:highlight w:val="yellow"/>
          <w:shd w:val="clear" w:color="auto" w:fill="FFFFFF"/>
          <w:lang w:val="fr-FR"/>
        </w:rPr>
        <w:lastRenderedPageBreak/>
        <w:t>Economies of Central Asia</w:t>
      </w:r>
      <w:r w:rsidR="00B66CEE" w:rsidRPr="00B66CEE">
        <w:rPr>
          <w:rFonts w:ascii="Arial" w:hAnsi="Arial" w:cs="Arial" w:hint="eastAsia"/>
          <w:b/>
          <w:bCs/>
          <w:color w:val="444444"/>
          <w:sz w:val="21"/>
          <w:szCs w:val="21"/>
          <w:highlight w:val="yellow"/>
          <w:shd w:val="clear" w:color="auto" w:fill="FFFFFF"/>
          <w:lang w:val="fr-FR" w:eastAsia="ja-JP"/>
        </w:rPr>
        <w:t>）</w:t>
      </w:r>
      <w:r w:rsidRPr="00B66CEE">
        <w:rPr>
          <w:highlight w:val="yellow"/>
          <w:lang w:val="en-US"/>
        </w:rPr>
        <w:t>地域における地域アドバイザーの活動に肯定的に留意した。</w:t>
      </w:r>
      <w:r>
        <w:rPr>
          <w:lang w:val="en-US"/>
        </w:rPr>
        <w:t>代表団は、第</w:t>
      </w:r>
      <w:r>
        <w:rPr>
          <w:lang w:val="en-US"/>
        </w:rPr>
        <w:t>70</w:t>
      </w:r>
      <w:r>
        <w:rPr>
          <w:lang w:val="en-US"/>
        </w:rPr>
        <w:t>回委員会の会期を考慮して、</w:t>
      </w:r>
      <w:r w:rsidR="00042939">
        <w:rPr>
          <w:lang w:val="en-US"/>
        </w:rPr>
        <w:t>UN/CEFACT</w:t>
      </w:r>
      <w:r>
        <w:rPr>
          <w:lang w:val="en-US"/>
        </w:rPr>
        <w:t>の作業の重要性を強調した。</w:t>
      </w:r>
    </w:p>
    <w:p w14:paraId="210050C2" w14:textId="057B8998" w:rsidR="00900E66" w:rsidRPr="00FE5616" w:rsidRDefault="00213D08" w:rsidP="00D91C0A">
      <w:pPr>
        <w:pStyle w:val="HChG"/>
        <w:rPr>
          <w:sz w:val="24"/>
          <w:szCs w:val="24"/>
        </w:rPr>
      </w:pPr>
      <w:r>
        <w:tab/>
        <w:t>IV</w:t>
      </w:r>
      <w:r w:rsidR="00BD2D07">
        <w:rPr>
          <w:rFonts w:hint="eastAsia"/>
          <w:lang w:eastAsia="ja-JP"/>
        </w:rPr>
        <w:t>.</w:t>
      </w:r>
      <w:r w:rsidR="00BD2D07">
        <w:rPr>
          <w:lang w:eastAsia="ja-JP"/>
        </w:rPr>
        <w:t xml:space="preserve"> </w:t>
      </w:r>
      <w:r w:rsidR="00BD2D07" w:rsidRPr="003D2BF1">
        <w:rPr>
          <w:highlight w:val="yellow"/>
          <w:lang w:eastAsia="ja-JP"/>
        </w:rPr>
        <w:t xml:space="preserve">Bureau </w:t>
      </w:r>
      <w:r w:rsidR="00FE5616" w:rsidRPr="003D2BF1">
        <w:rPr>
          <w:highlight w:val="yellow"/>
          <w:lang w:eastAsia="ja-JP"/>
        </w:rPr>
        <w:t>overview of developments</w:t>
      </w:r>
      <w:r w:rsidR="00FE5616">
        <w:rPr>
          <w:lang w:eastAsia="ja-JP"/>
        </w:rPr>
        <w:t xml:space="preserve"> (agenda item 3)</w:t>
      </w:r>
      <w:r w:rsidR="00FE5616">
        <w:t xml:space="preserve"> </w:t>
      </w:r>
      <w:r w:rsidR="00FE5616">
        <w:rPr>
          <w:rFonts w:hint="eastAsia"/>
          <w:sz w:val="24"/>
          <w:szCs w:val="24"/>
          <w:lang w:eastAsia="ja-JP"/>
        </w:rPr>
        <w:t>議長団概説</w:t>
      </w:r>
      <w:r w:rsidR="00FE5616">
        <w:rPr>
          <w:rFonts w:hint="eastAsia"/>
          <w:sz w:val="24"/>
          <w:szCs w:val="24"/>
          <w:lang w:eastAsia="ja-JP"/>
        </w:rPr>
        <w:t xml:space="preserve"> </w:t>
      </w:r>
    </w:p>
    <w:p w14:paraId="59E5382A" w14:textId="1E0BD838" w:rsidR="00D6006C" w:rsidRDefault="0076559F" w:rsidP="00FE5616">
      <w:pPr>
        <w:pStyle w:val="SingleTxtG"/>
        <w:ind w:leftChars="71" w:left="566" w:right="141" w:hangingChars="212" w:hanging="424"/>
        <w:rPr>
          <w:iCs/>
        </w:rPr>
      </w:pPr>
      <w:r>
        <w:t>14.</w:t>
      </w:r>
      <w:r>
        <w:tab/>
      </w:r>
      <w:r>
        <w:t>議長は、第</w:t>
      </w:r>
      <w:r>
        <w:t>27</w:t>
      </w:r>
      <w:r>
        <w:t>回目の会合から</w:t>
      </w:r>
      <w:r>
        <w:t>2022</w:t>
      </w:r>
      <w:r>
        <w:t>年</w:t>
      </w:r>
      <w:r>
        <w:t>8</w:t>
      </w:r>
      <w:r>
        <w:t>月までの間に、</w:t>
      </w:r>
      <w:r w:rsidR="00FE5616">
        <w:rPr>
          <w:rFonts w:hint="eastAsia"/>
          <w:lang w:eastAsia="ja-JP"/>
        </w:rPr>
        <w:t>議長団</w:t>
      </w:r>
      <w:r>
        <w:t>の決定、要約または促進活動、各プログラム開発分野</w:t>
      </w:r>
      <w:r>
        <w:t xml:space="preserve"> (ECE/TRADE/C/CEFACT/2022/5) </w:t>
      </w:r>
      <w:r>
        <w:t>におけるプロジェクト活動を含む</w:t>
      </w:r>
      <w:r w:rsidR="00FE5616">
        <w:rPr>
          <w:rFonts w:hint="eastAsia"/>
          <w:i/>
          <w:iCs/>
          <w:lang w:eastAsia="ja-JP"/>
        </w:rPr>
        <w:t>議長団</w:t>
      </w:r>
      <w:r>
        <w:rPr>
          <w:i/>
          <w:iCs/>
        </w:rPr>
        <w:t>の開発報告書</w:t>
      </w:r>
      <w:r>
        <w:t>を提出した。レポートでは次のように強調されている。</w:t>
      </w:r>
    </w:p>
    <w:p w14:paraId="49B584FF" w14:textId="0397CA19" w:rsidR="00282566" w:rsidRPr="009B5D53" w:rsidRDefault="007D41BC" w:rsidP="00FE5616">
      <w:pPr>
        <w:pStyle w:val="SingleTxtG"/>
        <w:numPr>
          <w:ilvl w:val="0"/>
          <w:numId w:val="32"/>
        </w:numPr>
        <w:ind w:leftChars="284" w:left="992" w:right="141" w:hangingChars="212" w:hanging="424"/>
      </w:pPr>
      <w:r>
        <w:t>18</w:t>
      </w:r>
      <w:r>
        <w:t>回の定期的な</w:t>
      </w:r>
      <w:r w:rsidR="00CD0E14">
        <w:rPr>
          <w:rFonts w:hint="eastAsia"/>
          <w:lang w:eastAsia="ja-JP"/>
        </w:rPr>
        <w:t>議長団</w:t>
      </w:r>
      <w:r>
        <w:t>の</w:t>
      </w:r>
      <w:r w:rsidR="00CD0E14">
        <w:rPr>
          <w:rFonts w:hint="eastAsia"/>
          <w:lang w:eastAsia="ja-JP"/>
        </w:rPr>
        <w:t>招集</w:t>
      </w:r>
      <w:r>
        <w:t>、プロジェクト開発と手続き上のポイントを議論する</w:t>
      </w:r>
      <w:r>
        <w:t>;</w:t>
      </w:r>
    </w:p>
    <w:p w14:paraId="71F5AC1B" w14:textId="6FF87B12" w:rsidR="00282566" w:rsidRPr="009B5D53" w:rsidRDefault="00D317D8" w:rsidP="00FE5616">
      <w:pPr>
        <w:pStyle w:val="SingleTxtG"/>
        <w:numPr>
          <w:ilvl w:val="0"/>
          <w:numId w:val="32"/>
        </w:numPr>
        <w:ind w:leftChars="284" w:left="992" w:right="141" w:hangingChars="212" w:hanging="424"/>
      </w:pPr>
      <w:r>
        <w:t>98</w:t>
      </w:r>
      <w:r>
        <w:t>附属書</w:t>
      </w:r>
      <w:r>
        <w:t>I</w:t>
      </w:r>
      <w:r>
        <w:t>に詳述されている</w:t>
      </w:r>
      <w:r w:rsidR="00CD0E14">
        <w:rPr>
          <w:rFonts w:hint="eastAsia"/>
          <w:lang w:eastAsia="ja-JP"/>
        </w:rPr>
        <w:t>議長団</w:t>
      </w:r>
      <w:r>
        <w:t>の決定</w:t>
      </w:r>
      <w:r>
        <w:t>;</w:t>
      </w:r>
    </w:p>
    <w:p w14:paraId="2500B72F" w14:textId="6523C3D6" w:rsidR="00282566" w:rsidRPr="009B5D53" w:rsidRDefault="00AF1CD7" w:rsidP="00FE5616">
      <w:pPr>
        <w:pStyle w:val="SingleTxtG"/>
        <w:numPr>
          <w:ilvl w:val="0"/>
          <w:numId w:val="32"/>
        </w:numPr>
        <w:ind w:leftChars="284" w:left="992" w:right="141" w:hangingChars="212" w:hanging="424"/>
      </w:pPr>
      <w:r>
        <w:t>附属書</w:t>
      </w:r>
      <w:r>
        <w:t>II</w:t>
      </w:r>
      <w:r>
        <w:t>に詳述されている</w:t>
      </w:r>
      <w:r>
        <w:t>UN/CEFACT</w:t>
      </w:r>
      <w:r>
        <w:t>が代表された</w:t>
      </w:r>
      <w:r>
        <w:t>90</w:t>
      </w:r>
      <w:r>
        <w:t>のイベント</w:t>
      </w:r>
      <w:r>
        <w:t>;</w:t>
      </w:r>
    </w:p>
    <w:p w14:paraId="01937534" w14:textId="574F9D70" w:rsidR="00282566" w:rsidRPr="009B5D53" w:rsidRDefault="009B19E9" w:rsidP="00FE5616">
      <w:pPr>
        <w:pStyle w:val="SingleTxtG"/>
        <w:numPr>
          <w:ilvl w:val="0"/>
          <w:numId w:val="32"/>
        </w:numPr>
        <w:ind w:leftChars="284" w:left="992" w:right="141" w:hangingChars="212" w:hanging="424"/>
      </w:pPr>
      <w:r>
        <w:t>この期間に活動した</w:t>
      </w:r>
      <w:r w:rsidRPr="003D2BF1">
        <w:rPr>
          <w:highlight w:val="yellow"/>
        </w:rPr>
        <w:t>39</w:t>
      </w:r>
      <w:r w:rsidRPr="003D2BF1">
        <w:rPr>
          <w:highlight w:val="yellow"/>
        </w:rPr>
        <w:t>のプロジェクト</w:t>
      </w:r>
      <w:r>
        <w:t>、その附属書</w:t>
      </w:r>
      <w:r>
        <w:t>III</w:t>
      </w:r>
      <w:r>
        <w:t>に詳述されている</w:t>
      </w:r>
      <w:r>
        <w:t>;</w:t>
      </w:r>
    </w:p>
    <w:p w14:paraId="243257CB" w14:textId="2A96663D" w:rsidR="009B19E9" w:rsidRDefault="00670309" w:rsidP="00FE5616">
      <w:pPr>
        <w:pStyle w:val="SingleTxtG"/>
        <w:numPr>
          <w:ilvl w:val="0"/>
          <w:numId w:val="32"/>
        </w:numPr>
        <w:ind w:leftChars="284" w:left="992" w:right="141" w:hangingChars="212" w:hanging="424"/>
      </w:pPr>
      <w:r>
        <w:t>UN/CEFACT</w:t>
      </w:r>
      <w:r>
        <w:t>に登録された</w:t>
      </w:r>
      <w:r w:rsidRPr="003D2BF1">
        <w:rPr>
          <w:highlight w:val="yellow"/>
        </w:rPr>
        <w:t>1631</w:t>
      </w:r>
      <w:r w:rsidRPr="003D2BF1">
        <w:rPr>
          <w:highlight w:val="yellow"/>
        </w:rPr>
        <w:t>人の専門家</w:t>
      </w:r>
      <w:r>
        <w:t>;</w:t>
      </w:r>
      <w:r w:rsidR="00CD0E14">
        <w:rPr>
          <w:rFonts w:hint="eastAsia"/>
          <w:lang w:eastAsia="ja-JP"/>
        </w:rPr>
        <w:t xml:space="preserve">　</w:t>
      </w:r>
      <w:r>
        <w:t>および</w:t>
      </w:r>
    </w:p>
    <w:p w14:paraId="140AC55D" w14:textId="740F8552" w:rsidR="00471B41" w:rsidRPr="003D2BF1" w:rsidRDefault="00471B41" w:rsidP="00FE5616">
      <w:pPr>
        <w:pStyle w:val="SingleTxtG"/>
        <w:numPr>
          <w:ilvl w:val="0"/>
          <w:numId w:val="32"/>
        </w:numPr>
        <w:ind w:leftChars="284" w:left="992" w:right="141" w:hangingChars="212" w:hanging="424"/>
        <w:rPr>
          <w:highlight w:val="yellow"/>
        </w:rPr>
      </w:pPr>
      <w:r w:rsidRPr="003D2BF1">
        <w:rPr>
          <w:highlight w:val="yellow"/>
        </w:rPr>
        <w:t>すべてのドメインコーディネーターとフォーカルポイントの</w:t>
      </w:r>
      <w:r w:rsidR="003E23FE" w:rsidRPr="003D2BF1">
        <w:rPr>
          <w:rFonts w:hint="eastAsia"/>
          <w:highlight w:val="yellow"/>
          <w:lang w:eastAsia="ja-JP"/>
        </w:rPr>
        <w:t>委嘱</w:t>
      </w:r>
      <w:r w:rsidRPr="003D2BF1">
        <w:rPr>
          <w:highlight w:val="yellow"/>
        </w:rPr>
        <w:t>を</w:t>
      </w:r>
      <w:r w:rsidRPr="003D2BF1">
        <w:rPr>
          <w:highlight w:val="yellow"/>
        </w:rPr>
        <w:t>2023</w:t>
      </w:r>
      <w:r w:rsidRPr="003D2BF1">
        <w:rPr>
          <w:highlight w:val="yellow"/>
        </w:rPr>
        <w:t>年</w:t>
      </w:r>
      <w:r w:rsidRPr="003D2BF1">
        <w:rPr>
          <w:highlight w:val="yellow"/>
        </w:rPr>
        <w:t>7</w:t>
      </w:r>
      <w:r w:rsidRPr="003D2BF1">
        <w:rPr>
          <w:highlight w:val="yellow"/>
        </w:rPr>
        <w:t>月</w:t>
      </w:r>
      <w:r w:rsidRPr="003D2BF1">
        <w:rPr>
          <w:highlight w:val="yellow"/>
        </w:rPr>
        <w:t>15</w:t>
      </w:r>
      <w:r w:rsidRPr="003D2BF1">
        <w:rPr>
          <w:highlight w:val="yellow"/>
        </w:rPr>
        <w:t>日までさらに</w:t>
      </w:r>
      <w:r w:rsidRPr="003D2BF1">
        <w:rPr>
          <w:highlight w:val="yellow"/>
        </w:rPr>
        <w:t>1</w:t>
      </w:r>
      <w:r w:rsidRPr="003D2BF1">
        <w:rPr>
          <w:highlight w:val="yellow"/>
        </w:rPr>
        <w:t>年間延長すること。</w:t>
      </w:r>
    </w:p>
    <w:p w14:paraId="5B2B560E" w14:textId="4BD11ADD" w:rsidR="00CF0B05" w:rsidRDefault="00B168E9" w:rsidP="00FE5616">
      <w:pPr>
        <w:pStyle w:val="SingleTxtG"/>
        <w:ind w:leftChars="71" w:left="566" w:right="141" w:hangingChars="212" w:hanging="424"/>
      </w:pPr>
      <w:r>
        <w:t>15.</w:t>
      </w:r>
      <w:r>
        <w:tab/>
      </w:r>
      <w:r>
        <w:t>議長は、</w:t>
      </w:r>
      <w:r w:rsidRPr="003D2BF1">
        <w:rPr>
          <w:highlight w:val="yellow"/>
        </w:rPr>
        <w:t>2022</w:t>
      </w:r>
      <w:r w:rsidRPr="003D2BF1">
        <w:rPr>
          <w:highlight w:val="yellow"/>
        </w:rPr>
        <w:t>年</w:t>
      </w:r>
      <w:r w:rsidRPr="003D2BF1">
        <w:rPr>
          <w:highlight w:val="yellow"/>
        </w:rPr>
        <w:t>12</w:t>
      </w:r>
      <w:r w:rsidRPr="003D2BF1">
        <w:rPr>
          <w:highlight w:val="yellow"/>
        </w:rPr>
        <w:t>月</w:t>
      </w:r>
      <w:r w:rsidR="00C30571" w:rsidRPr="003D2BF1">
        <w:rPr>
          <w:highlight w:val="yellow"/>
        </w:rPr>
        <w:t>5</w:t>
      </w:r>
      <w:r w:rsidR="00C30571" w:rsidRPr="003D2BF1">
        <w:rPr>
          <w:highlight w:val="yellow"/>
        </w:rPr>
        <w:t>日及び</w:t>
      </w:r>
      <w:r w:rsidRPr="003D2BF1">
        <w:rPr>
          <w:highlight w:val="yellow"/>
        </w:rPr>
        <w:t>6</w:t>
      </w:r>
      <w:r w:rsidRPr="003D2BF1">
        <w:rPr>
          <w:highlight w:val="yellow"/>
        </w:rPr>
        <w:t>日にオンラインで開催される第</w:t>
      </w:r>
      <w:r w:rsidRPr="003D2BF1">
        <w:rPr>
          <w:highlight w:val="yellow"/>
        </w:rPr>
        <w:t>2</w:t>
      </w:r>
      <w:r w:rsidRPr="003D2BF1">
        <w:rPr>
          <w:highlight w:val="yellow"/>
        </w:rPr>
        <w:t>回</w:t>
      </w:r>
      <w:r w:rsidRPr="003D2BF1">
        <w:rPr>
          <w:highlight w:val="yellow"/>
        </w:rPr>
        <w:t>UN/CEFACT</w:t>
      </w:r>
      <w:r w:rsidRPr="003D2BF1">
        <w:rPr>
          <w:highlight w:val="yellow"/>
        </w:rPr>
        <w:t>フォーラムの日程を発表</w:t>
      </w:r>
      <w:r>
        <w:t>した。このフォーラムは、専門家が活動の進捗状況を共有し、プロジェクトの実施を進める機会となる。彼女はさらに、事務局に連絡するための準備に貢献する意思のある加盟国を招待した。</w:t>
      </w:r>
    </w:p>
    <w:p w14:paraId="336ECB10" w14:textId="5EC97790" w:rsidR="00CF71DF" w:rsidRDefault="00CF71DF" w:rsidP="00FE5616">
      <w:pPr>
        <w:pStyle w:val="SingleTxtG"/>
        <w:ind w:leftChars="71" w:left="566" w:right="141" w:hangingChars="212" w:hanging="424"/>
      </w:pPr>
      <w:r>
        <w:t>16.</w:t>
      </w:r>
      <w:r>
        <w:tab/>
      </w:r>
      <w:r>
        <w:t>ロシア連邦の代表団は、</w:t>
      </w:r>
      <w:r w:rsidR="00042939">
        <w:t>UN/CEFACT</w:t>
      </w:r>
      <w:r>
        <w:t>事務局と事務局の貴重な仕事に感謝の意を表明した。</w:t>
      </w:r>
    </w:p>
    <w:p w14:paraId="4B79F5A4" w14:textId="3258CF8C" w:rsidR="00557389" w:rsidRDefault="00557389" w:rsidP="00FE5616">
      <w:pPr>
        <w:pStyle w:val="SingleTxtG"/>
        <w:ind w:leftChars="71" w:left="568" w:right="141" w:hangingChars="212" w:hanging="426"/>
      </w:pPr>
      <w:r>
        <w:rPr>
          <w:b/>
          <w:bCs/>
        </w:rPr>
        <w:t>本会議決定</w:t>
      </w:r>
      <w:r>
        <w:rPr>
          <w:b/>
          <w:bCs/>
        </w:rPr>
        <w:t>22-04:</w:t>
      </w:r>
      <w:r>
        <w:t>本会議は、</w:t>
      </w:r>
      <w:r>
        <w:rPr>
          <w:i/>
          <w:iCs/>
        </w:rPr>
        <w:t>UN/CEFACT Bureau overview of developments</w:t>
      </w:r>
      <w:r>
        <w:t xml:space="preserve"> (ECE/TRADE/C/CEFACT/2022/5) </w:t>
      </w:r>
      <w:r>
        <w:t>に留意し、事務局が</w:t>
      </w:r>
      <w:r>
        <w:t>2023</w:t>
      </w:r>
      <w:r>
        <w:t>年に再び進展について報告するよう要請した。</w:t>
      </w:r>
    </w:p>
    <w:p w14:paraId="75D2D071" w14:textId="23BB8425" w:rsidR="00114062" w:rsidRPr="00FE5616" w:rsidRDefault="00114062" w:rsidP="00114062">
      <w:pPr>
        <w:pStyle w:val="HChG"/>
        <w:rPr>
          <w:sz w:val="24"/>
          <w:szCs w:val="24"/>
        </w:rPr>
      </w:pPr>
      <w:r>
        <w:tab/>
        <w:t>V</w:t>
      </w:r>
      <w:r w:rsidR="00FE5616">
        <w:rPr>
          <w:rFonts w:hint="eastAsia"/>
          <w:lang w:eastAsia="ja-JP"/>
        </w:rPr>
        <w:t>.</w:t>
      </w:r>
      <w:r w:rsidR="00FE5616">
        <w:t xml:space="preserve"> </w:t>
      </w:r>
      <w:r w:rsidR="00FE5616" w:rsidRPr="003D2BF1">
        <w:rPr>
          <w:highlight w:val="yellow"/>
        </w:rPr>
        <w:t>Reports of rapporteurs</w:t>
      </w:r>
      <w:r w:rsidR="00FE5616">
        <w:t xml:space="preserve"> (agenda item 4)</w:t>
      </w:r>
      <w:r w:rsidRPr="00FE5616">
        <w:rPr>
          <w:sz w:val="24"/>
          <w:szCs w:val="24"/>
        </w:rPr>
        <w:tab/>
      </w:r>
      <w:r w:rsidR="00FE5616">
        <w:rPr>
          <w:rFonts w:hint="eastAsia"/>
          <w:sz w:val="24"/>
          <w:szCs w:val="24"/>
          <w:lang w:eastAsia="ja-JP"/>
        </w:rPr>
        <w:t xml:space="preserve">　</w:t>
      </w:r>
      <w:r w:rsidR="00FE5616" w:rsidRPr="00FE5616">
        <w:rPr>
          <w:rFonts w:hint="eastAsia"/>
          <w:sz w:val="24"/>
          <w:szCs w:val="24"/>
          <w:lang w:eastAsia="ja-JP"/>
        </w:rPr>
        <w:t>地域ラポーター</w:t>
      </w:r>
      <w:r w:rsidRPr="00FE5616">
        <w:rPr>
          <w:sz w:val="24"/>
          <w:szCs w:val="24"/>
        </w:rPr>
        <w:t>の報告</w:t>
      </w:r>
      <w:r w:rsidRPr="00FE5616">
        <w:rPr>
          <w:sz w:val="24"/>
          <w:szCs w:val="24"/>
        </w:rPr>
        <w:t xml:space="preserve"> </w:t>
      </w:r>
    </w:p>
    <w:p w14:paraId="7CECC873" w14:textId="583E0D4E" w:rsidR="00001A85" w:rsidRPr="00E065BC" w:rsidRDefault="00B5423A" w:rsidP="00130DDE">
      <w:pPr>
        <w:pStyle w:val="SingleTxtG"/>
        <w:ind w:leftChars="71" w:left="566" w:right="141" w:hangingChars="212" w:hanging="424"/>
        <w:rPr>
          <w:b/>
          <w:bCs/>
          <w:color w:val="FF0000"/>
          <w:lang w:eastAsia="ja-JP"/>
        </w:rPr>
      </w:pPr>
      <w:r>
        <w:t>17.</w:t>
      </w:r>
      <w:r>
        <w:tab/>
      </w:r>
      <w:r w:rsidR="00CD0E14">
        <w:t xml:space="preserve">   </w:t>
      </w:r>
      <w:r>
        <w:t>地域</w:t>
      </w:r>
      <w:r w:rsidR="00FE5616">
        <w:rPr>
          <w:rFonts w:hint="eastAsia"/>
          <w:lang w:eastAsia="ja-JP"/>
        </w:rPr>
        <w:t>ラポーター</w:t>
      </w:r>
      <w:r>
        <w:t>は、文書</w:t>
      </w:r>
      <w:r>
        <w:t>ECE/TRADE/C/CEFACT/2022/6</w:t>
      </w:r>
      <w:r>
        <w:t>に含まれる報告書を発表した。この文書は、サハラ以南アフリカの報告者</w:t>
      </w:r>
      <w:r>
        <w:t xml:space="preserve"> (</w:t>
      </w:r>
      <w:r>
        <w:t>付属書</w:t>
      </w:r>
      <w:r>
        <w:t xml:space="preserve">I) </w:t>
      </w:r>
      <w:r>
        <w:t>と</w:t>
      </w:r>
      <w:r w:rsidRPr="0073658D">
        <w:rPr>
          <w:highlight w:val="magenta"/>
        </w:rPr>
        <w:t>アジア太平洋の報告者</w:t>
      </w:r>
      <w:r w:rsidRPr="0073658D">
        <w:rPr>
          <w:highlight w:val="magenta"/>
        </w:rPr>
        <w:t xml:space="preserve"> (</w:t>
      </w:r>
      <w:r w:rsidRPr="0073658D">
        <w:rPr>
          <w:highlight w:val="magenta"/>
        </w:rPr>
        <w:t>付属書</w:t>
      </w:r>
      <w:r w:rsidRPr="0073658D">
        <w:rPr>
          <w:highlight w:val="magenta"/>
        </w:rPr>
        <w:t>II)</w:t>
      </w:r>
      <w:r>
        <w:t xml:space="preserve"> </w:t>
      </w:r>
      <w:r>
        <w:t>から受け取った報告書で構成されている。</w:t>
      </w:r>
      <w:r w:rsidR="00E065BC" w:rsidRPr="00E065BC">
        <w:rPr>
          <w:b/>
          <w:bCs/>
          <w:color w:val="FF0000"/>
          <w:lang w:eastAsia="ja-JP"/>
        </w:rPr>
        <w:sym w:font="Wingdings" w:char="F0E8"/>
      </w:r>
      <w:r w:rsidR="00E065BC" w:rsidRPr="00E065BC">
        <w:rPr>
          <w:rFonts w:hint="eastAsia"/>
          <w:b/>
          <w:bCs/>
          <w:color w:val="FF0000"/>
          <w:lang w:eastAsia="ja-JP"/>
        </w:rPr>
        <w:t>添付①</w:t>
      </w:r>
    </w:p>
    <w:p w14:paraId="1A0F9197" w14:textId="41350FA0" w:rsidR="00A33471" w:rsidRPr="00197B6E" w:rsidRDefault="00CF71DF" w:rsidP="00130DDE">
      <w:pPr>
        <w:pStyle w:val="SingleTxtG"/>
        <w:ind w:leftChars="71" w:left="566" w:right="141" w:hangingChars="212" w:hanging="424"/>
      </w:pPr>
      <w:r>
        <w:t>18.</w:t>
      </w:r>
      <w:r>
        <w:tab/>
      </w:r>
      <w:r>
        <w:t>これらの報告書は、アフリカ大陸自由貿易地域やアジア太平洋貿易円滑化電子ビジネス協議会などの地域イニシアティブを強調している。また、</w:t>
      </w:r>
      <w:r>
        <w:t>UN/CEFACT</w:t>
      </w:r>
      <w:r>
        <w:t>の成果物が議論された会議を含む、会議の概要も提供する。</w:t>
      </w:r>
    </w:p>
    <w:p w14:paraId="674A131B" w14:textId="0847C86F" w:rsidR="00193E04" w:rsidRDefault="00197B6E" w:rsidP="00130DDE">
      <w:pPr>
        <w:pStyle w:val="SingleTxtG"/>
        <w:ind w:leftChars="71" w:left="568" w:right="141" w:hangingChars="212" w:hanging="426"/>
      </w:pPr>
      <w:r>
        <w:rPr>
          <w:b/>
          <w:bCs/>
        </w:rPr>
        <w:t>本会議決定</w:t>
      </w:r>
      <w:r>
        <w:rPr>
          <w:b/>
          <w:bCs/>
        </w:rPr>
        <w:t>22-05:</w:t>
      </w:r>
      <w:r>
        <w:t>本会議は、</w:t>
      </w:r>
      <w:r w:rsidR="00042939">
        <w:rPr>
          <w:i/>
          <w:iCs/>
        </w:rPr>
        <w:t>UN/CEFACT</w:t>
      </w:r>
      <w:r>
        <w:rPr>
          <w:i/>
          <w:iCs/>
        </w:rPr>
        <w:t>地域報告者報告書</w:t>
      </w:r>
      <w:r>
        <w:t xml:space="preserve"> (ECE/TRADE/C/CEFACT/2022/6) </w:t>
      </w:r>
      <w:r>
        <w:t>に留意し、報告書が</w:t>
      </w:r>
      <w:r>
        <w:t>2023</w:t>
      </w:r>
      <w:r>
        <w:t>年の次回本会議で提供されるよう要請した。</w:t>
      </w:r>
    </w:p>
    <w:p w14:paraId="22A663B3" w14:textId="71006A0E" w:rsidR="000D3A7C" w:rsidRPr="00130DDE" w:rsidRDefault="000D3A7C" w:rsidP="000D3A7C">
      <w:pPr>
        <w:pStyle w:val="HChG"/>
        <w:rPr>
          <w:sz w:val="24"/>
          <w:szCs w:val="24"/>
        </w:rPr>
      </w:pPr>
      <w:r>
        <w:tab/>
        <w:t>VI</w:t>
      </w:r>
      <w:r w:rsidR="00FE5616">
        <w:rPr>
          <w:rFonts w:hint="eastAsia"/>
          <w:lang w:eastAsia="ja-JP"/>
        </w:rPr>
        <w:t xml:space="preserve">. </w:t>
      </w:r>
      <w:r w:rsidR="00FE5616" w:rsidRPr="003D2BF1">
        <w:rPr>
          <w:highlight w:val="yellow"/>
          <w:lang w:eastAsia="ja-JP"/>
        </w:rPr>
        <w:t>Recommendation for approval</w:t>
      </w:r>
      <w:r w:rsidR="00FE5616">
        <w:rPr>
          <w:lang w:eastAsia="ja-JP"/>
        </w:rPr>
        <w:t xml:space="preserve"> (agenda item 5a) </w:t>
      </w:r>
      <w:r w:rsidR="00130DDE">
        <w:rPr>
          <w:rFonts w:hint="eastAsia"/>
          <w:lang w:eastAsia="ja-JP"/>
        </w:rPr>
        <w:t xml:space="preserve"> </w:t>
      </w:r>
      <w:r w:rsidRPr="00130DDE">
        <w:rPr>
          <w:sz w:val="24"/>
          <w:szCs w:val="24"/>
        </w:rPr>
        <w:t>勧告</w:t>
      </w:r>
      <w:r w:rsidR="00FE5616" w:rsidRPr="00130DDE">
        <w:rPr>
          <w:rFonts w:hint="eastAsia"/>
          <w:sz w:val="24"/>
          <w:szCs w:val="24"/>
          <w:lang w:eastAsia="ja-JP"/>
        </w:rPr>
        <w:t>の承認</w:t>
      </w:r>
    </w:p>
    <w:p w14:paraId="63048526" w14:textId="544B4957" w:rsidR="00EF1247" w:rsidRDefault="00A80A3A" w:rsidP="00130DDE">
      <w:pPr>
        <w:pStyle w:val="SingleTxtG"/>
        <w:ind w:leftChars="71" w:left="566" w:right="141" w:hangingChars="212" w:hanging="424"/>
      </w:pPr>
      <w:r>
        <w:t>19.</w:t>
      </w:r>
      <w:r>
        <w:tab/>
      </w:r>
      <w:r>
        <w:t>事務局は、承認のために本会議に提出された</w:t>
      </w:r>
      <w:r w:rsidRPr="00D46207">
        <w:rPr>
          <w:i/>
          <w:iCs/>
          <w:highlight w:val="yellow"/>
        </w:rPr>
        <w:t>勧告</w:t>
      </w:r>
      <w:r w:rsidRPr="00D46207">
        <w:rPr>
          <w:i/>
          <w:iCs/>
          <w:highlight w:val="yellow"/>
        </w:rPr>
        <w:t>2:ECE</w:t>
      </w:r>
      <w:r w:rsidRPr="00D46207">
        <w:rPr>
          <w:i/>
          <w:iCs/>
          <w:highlight w:val="yellow"/>
        </w:rPr>
        <w:t>レイアウトキー</w:t>
      </w:r>
      <w:r w:rsidRPr="00D46207">
        <w:rPr>
          <w:i/>
          <w:iCs/>
          <w:highlight w:val="yellow"/>
        </w:rPr>
        <w:t>:</w:t>
      </w:r>
      <w:r w:rsidRPr="00D46207">
        <w:rPr>
          <w:i/>
          <w:iCs/>
          <w:highlight w:val="yellow"/>
        </w:rPr>
        <w:t>国際貿易データ交換における意味情報とコード</w:t>
      </w:r>
      <w:r w:rsidRPr="00D46207">
        <w:rPr>
          <w:highlight w:val="yellow"/>
        </w:rPr>
        <w:t>を改訂</w:t>
      </w:r>
      <w:r>
        <w:t>した文書</w:t>
      </w:r>
      <w:r>
        <w:t>ECE/TRADE/C/CEFACT/2022/7</w:t>
      </w:r>
      <w:r>
        <w:t>を提示した。この文書は、</w:t>
      </w:r>
      <w:r>
        <w:t>ECE</w:t>
      </w:r>
      <w:r>
        <w:t>レイアウトキーに関する</w:t>
      </w:r>
      <w:r>
        <w:t>1981</w:t>
      </w:r>
      <w:r>
        <w:t>年勧告の改訂版であり、データ交換における明確で構造化されたセマンティクスとコード化された情報の使用を促進することを目的としている。この勧告とそのガイドラインは、主要な概念の明確な定義を提供し、貿易データ交換に対するサプライチェーン・プロセス主導のアプローチについて詳述し、電子データ交換の構造の概要を示し、主要な意味アンカーを列挙している。</w:t>
      </w:r>
    </w:p>
    <w:p w14:paraId="43211DC6" w14:textId="7AE93BFE" w:rsidR="002C112D" w:rsidRDefault="00EF1247" w:rsidP="00130DDE">
      <w:pPr>
        <w:pStyle w:val="SingleTxtG"/>
        <w:ind w:leftChars="71" w:left="566" w:right="141" w:hangingChars="212" w:hanging="424"/>
      </w:pPr>
      <w:r>
        <w:t>20.</w:t>
      </w:r>
      <w:r>
        <w:tab/>
      </w:r>
      <w:r>
        <w:t>議長は、プロジェクトリーダーとプロジェクトチームの努力に感謝の意を表した。</w:t>
      </w:r>
    </w:p>
    <w:p w14:paraId="2E75B0D2" w14:textId="0FB655D9" w:rsidR="0052594F" w:rsidRPr="0052594F" w:rsidRDefault="0052594F" w:rsidP="00130DDE">
      <w:pPr>
        <w:pStyle w:val="SingleTxtG"/>
        <w:ind w:leftChars="71" w:left="568" w:right="141" w:hangingChars="212" w:hanging="426"/>
      </w:pPr>
      <w:r>
        <w:rPr>
          <w:b/>
          <w:bCs/>
        </w:rPr>
        <w:t>本会議決定</w:t>
      </w:r>
      <w:r>
        <w:rPr>
          <w:b/>
          <w:bCs/>
        </w:rPr>
        <w:t>22-06:</w:t>
      </w:r>
      <w:r>
        <w:t>本会議は、改訂された</w:t>
      </w:r>
      <w:r>
        <w:rPr>
          <w:i/>
          <w:iCs/>
        </w:rPr>
        <w:t>勧告第</w:t>
      </w:r>
      <w:r>
        <w:rPr>
          <w:i/>
          <w:iCs/>
        </w:rPr>
        <w:t>2</w:t>
      </w:r>
      <w:r>
        <w:rPr>
          <w:i/>
          <w:iCs/>
        </w:rPr>
        <w:t>号</w:t>
      </w:r>
      <w:r>
        <w:rPr>
          <w:i/>
          <w:iCs/>
        </w:rPr>
        <w:t>:ECE</w:t>
      </w:r>
      <w:r>
        <w:rPr>
          <w:i/>
          <w:iCs/>
        </w:rPr>
        <w:t>レイアウトキー</w:t>
      </w:r>
      <w:r>
        <w:rPr>
          <w:i/>
          <w:iCs/>
        </w:rPr>
        <w:t>:</w:t>
      </w:r>
      <w:r>
        <w:rPr>
          <w:i/>
          <w:iCs/>
        </w:rPr>
        <w:t>国際貿易データ交換における意味情報とコード</w:t>
      </w:r>
      <w:r>
        <w:t xml:space="preserve"> (ECE/TRADE/C/CEFACT/2022/7) </w:t>
      </w:r>
      <w:r>
        <w:t>を承認した。</w:t>
      </w:r>
    </w:p>
    <w:p w14:paraId="1C0CBF99" w14:textId="34DBE20E" w:rsidR="00D6577D" w:rsidRPr="00082D64" w:rsidRDefault="00D6577D" w:rsidP="00082D64">
      <w:pPr>
        <w:pStyle w:val="HChG"/>
        <w:tabs>
          <w:tab w:val="clear" w:pos="851"/>
          <w:tab w:val="right" w:pos="709"/>
        </w:tabs>
        <w:ind w:left="709" w:right="141" w:hanging="709"/>
        <w:jc w:val="both"/>
        <w:rPr>
          <w:sz w:val="24"/>
          <w:szCs w:val="24"/>
        </w:rPr>
      </w:pPr>
      <w:r>
        <w:lastRenderedPageBreak/>
        <w:tab/>
        <w:t>VII</w:t>
      </w:r>
      <w:r w:rsidR="00082D64">
        <w:rPr>
          <w:rFonts w:hint="eastAsia"/>
          <w:lang w:eastAsia="ja-JP"/>
        </w:rPr>
        <w:t>.</w:t>
      </w:r>
      <w:r w:rsidR="00082D64">
        <w:t xml:space="preserve"> </w:t>
      </w:r>
      <w:r w:rsidR="00082D64">
        <w:rPr>
          <w:rFonts w:hint="eastAsia"/>
          <w:lang w:eastAsia="ja-JP"/>
        </w:rPr>
        <w:t xml:space="preserve"> </w:t>
      </w:r>
      <w:r w:rsidR="00082D64">
        <w:t xml:space="preserve">Deliverables if support of sustainable development and circular economy as the outcomes of the sixty-ninth session of the ECE (agenda item 5b) </w:t>
      </w:r>
      <w:r w:rsidR="00082D64">
        <w:rPr>
          <w:rFonts w:hint="eastAsia"/>
          <w:lang w:eastAsia="ja-JP"/>
        </w:rPr>
        <w:t xml:space="preserve">　　</w:t>
      </w:r>
      <w:r w:rsidR="00082D64">
        <w:t xml:space="preserve"> </w:t>
      </w:r>
      <w:r w:rsidRPr="00350A3E">
        <w:rPr>
          <w:sz w:val="24"/>
          <w:szCs w:val="24"/>
          <w:highlight w:val="yellow"/>
        </w:rPr>
        <w:t>ECE</w:t>
      </w:r>
      <w:r w:rsidRPr="00350A3E">
        <w:rPr>
          <w:bCs/>
          <w:sz w:val="24"/>
          <w:szCs w:val="24"/>
          <w:highlight w:val="yellow"/>
        </w:rPr>
        <w:t>第</w:t>
      </w:r>
      <w:r w:rsidRPr="00350A3E">
        <w:rPr>
          <w:bCs/>
          <w:sz w:val="24"/>
          <w:szCs w:val="24"/>
          <w:highlight w:val="yellow"/>
        </w:rPr>
        <w:t>69</w:t>
      </w:r>
      <w:r w:rsidRPr="00350A3E">
        <w:rPr>
          <w:bCs/>
          <w:sz w:val="24"/>
          <w:szCs w:val="24"/>
          <w:highlight w:val="yellow"/>
        </w:rPr>
        <w:t>回</w:t>
      </w:r>
      <w:r w:rsidR="00082D64" w:rsidRPr="00350A3E">
        <w:rPr>
          <w:rFonts w:hint="eastAsia"/>
          <w:bCs/>
          <w:sz w:val="24"/>
          <w:szCs w:val="24"/>
          <w:highlight w:val="yellow"/>
          <w:lang w:val="fr-FR" w:eastAsia="ja-JP"/>
        </w:rPr>
        <w:t>会議</w:t>
      </w:r>
      <w:r w:rsidRPr="00350A3E">
        <w:rPr>
          <w:sz w:val="24"/>
          <w:szCs w:val="24"/>
          <w:highlight w:val="yellow"/>
        </w:rPr>
        <w:t>の成果としての持続可能な開発と循環経済を支援する成果物</w:t>
      </w:r>
    </w:p>
    <w:p w14:paraId="09027BE0" w14:textId="4DA6B490" w:rsidR="001752E7" w:rsidRPr="0052594F" w:rsidRDefault="00816A48" w:rsidP="00082D64">
      <w:pPr>
        <w:pStyle w:val="SingleTxtG"/>
        <w:ind w:leftChars="71" w:left="566" w:right="141" w:hangingChars="212" w:hanging="424"/>
      </w:pPr>
      <w:r>
        <w:t>21.</w:t>
      </w:r>
      <w:r>
        <w:tab/>
      </w:r>
      <w:r>
        <w:t>事務局は、持続可能な開発と循環経済を支援するために、以下の成果物を発表した。</w:t>
      </w:r>
    </w:p>
    <w:p w14:paraId="078D9016" w14:textId="7ACE91E7" w:rsidR="001752E7" w:rsidRPr="0059138C" w:rsidRDefault="001752E7" w:rsidP="00082D64">
      <w:pPr>
        <w:pStyle w:val="Bullet1G"/>
        <w:numPr>
          <w:ilvl w:val="0"/>
          <w:numId w:val="42"/>
        </w:numPr>
        <w:ind w:leftChars="284" w:left="993" w:rightChars="70" w:right="140" w:hanging="425"/>
      </w:pPr>
      <w:r>
        <w:t>ECE/TRADE/C/CEFACT/2022/8</w:t>
      </w:r>
      <w:r>
        <w:t>、</w:t>
      </w:r>
      <w:r>
        <w:rPr>
          <w:i/>
          <w:iCs/>
        </w:rPr>
        <w:t>循環経済と持続可能な資源利用のための国際的なバリューチェーンに沿った製品のトレーサビリティの強化</w:t>
      </w:r>
      <w:r>
        <w:t>。この政策概要案は、第</w:t>
      </w:r>
      <w:r>
        <w:t>60</w:t>
      </w:r>
      <w:r>
        <w:t>回</w:t>
      </w:r>
      <w:r>
        <w:t>ECE</w:t>
      </w:r>
      <w:r>
        <w:t>委員会の成果を受けて、</w:t>
      </w:r>
      <w:r>
        <w:rPr>
          <w:i/>
          <w:iCs/>
        </w:rPr>
        <w:t>ECE</w:t>
      </w:r>
      <w:r>
        <w:rPr>
          <w:i/>
          <w:iCs/>
        </w:rPr>
        <w:t>地域における循環経済と天然資源の持続可能な利用への移行の加速化</w:t>
      </w:r>
      <w:r>
        <w:t>と題する</w:t>
      </w:r>
      <w:r>
        <w:t>UNDA</w:t>
      </w:r>
      <w:r>
        <w:t>プロジェクトの枠組みの中で作成された。農業、鉱物原料、繊維など主要分野の政策立案者が検討すべき一連の政策オプションを概説している。この文書はマルチステークホルダーとの協議を経て、</w:t>
      </w:r>
      <w:r>
        <w:t>2023</w:t>
      </w:r>
      <w:r>
        <w:t>年</w:t>
      </w:r>
      <w:r>
        <w:t>4</w:t>
      </w:r>
      <w:r>
        <w:t>月の</w:t>
      </w:r>
      <w:r>
        <w:t>ECE</w:t>
      </w:r>
      <w:r>
        <w:t>第</w:t>
      </w:r>
      <w:r>
        <w:t>70</w:t>
      </w:r>
      <w:r>
        <w:t>回</w:t>
      </w:r>
      <w:r w:rsidR="00573ED9">
        <w:rPr>
          <w:rFonts w:hint="eastAsia"/>
          <w:lang w:eastAsia="ja-JP"/>
        </w:rPr>
        <w:t>会議</w:t>
      </w:r>
      <w:r>
        <w:t>に向けて最終決定される予定である。</w:t>
      </w:r>
    </w:p>
    <w:p w14:paraId="2EAC3DE2" w14:textId="1845722E" w:rsidR="001752E7" w:rsidRPr="00190F7A" w:rsidRDefault="001752E7" w:rsidP="00082D64">
      <w:pPr>
        <w:pStyle w:val="Bullet1G"/>
        <w:numPr>
          <w:ilvl w:val="0"/>
          <w:numId w:val="42"/>
        </w:numPr>
        <w:ind w:leftChars="284" w:left="993" w:right="141" w:hanging="425"/>
      </w:pPr>
      <w:r>
        <w:t>ECE/TRADE/C/CEFACT/2022/9</w:t>
      </w:r>
      <w:r>
        <w:t>、</w:t>
      </w:r>
      <w:r w:rsidRPr="0073658D">
        <w:rPr>
          <w:highlight w:val="yellow"/>
        </w:rPr>
        <w:t>衣料および履物部門におけるブロックチェーンパイロットに関する報告書</w:t>
      </w:r>
      <w:r w:rsidRPr="00350A3E">
        <w:t>。この概念実証レポートのドラフトは、現在進行中の</w:t>
      </w:r>
      <w:r w:rsidRPr="00350A3E">
        <w:rPr>
          <w:lang w:val="fr-FR"/>
        </w:rPr>
        <w:t>Blockchain Pilot Project:Harnessing the potential of b</w:t>
      </w:r>
      <w:r w:rsidRPr="00C30571">
        <w:rPr>
          <w:lang w:val="fr-FR"/>
        </w:rPr>
        <w:t xml:space="preserve">lockchain technology for due diligence and sustainability in </w:t>
      </w:r>
      <w:r w:rsidRPr="00350A3E">
        <w:rPr>
          <w:highlight w:val="yellow"/>
          <w:lang w:val="fr-FR"/>
        </w:rPr>
        <w:t>cotton and leather</w:t>
      </w:r>
      <w:r w:rsidRPr="00C30571">
        <w:rPr>
          <w:lang w:val="fr-FR"/>
        </w:rPr>
        <w:t xml:space="preserve"> value chains</w:t>
      </w:r>
      <w:r>
        <w:t>から得られた重要な発見を提示している。この試験には</w:t>
      </w:r>
      <w:r>
        <w:t>13</w:t>
      </w:r>
      <w:r>
        <w:t>のユースケースが含まれ、世界のすべての地域の</w:t>
      </w:r>
      <w:r>
        <w:t>20</w:t>
      </w:r>
      <w:r>
        <w:t>カ国で</w:t>
      </w:r>
      <w:r>
        <w:t>73</w:t>
      </w:r>
      <w:r>
        <w:t>のパートナーが参加した。このプロジェクトでは、世界の綿および皮革産業の代表者を雇用し、ブロックチェーンシステムにおける</w:t>
      </w:r>
      <w:r>
        <w:t>ECE</w:t>
      </w:r>
      <w:r>
        <w:t>トレーサビリティおよび透明性基準の製品トレースへの適用をテストしている。マルチステークホルダー・アプローチを採用し、グローバル・バリュー・チェーンをカバーしている。報告書草案はまた、ブロックチェーン技術を利用するための主要な実装上の課題や、他の繊維や皮革の繊維や素材にもプロジェクトを拡大する機会に関する提言も行っている。</w:t>
      </w:r>
    </w:p>
    <w:p w14:paraId="3939CA83" w14:textId="3B3A01BD" w:rsidR="001752E7" w:rsidRDefault="001752E7" w:rsidP="00082D64">
      <w:pPr>
        <w:pStyle w:val="Bullet1G"/>
        <w:numPr>
          <w:ilvl w:val="0"/>
          <w:numId w:val="42"/>
        </w:numPr>
        <w:ind w:leftChars="284" w:left="993" w:right="141" w:hanging="425"/>
      </w:pPr>
      <w:r>
        <w:t xml:space="preserve">ECE/TRADE/C/CEFACT/2022/10, </w:t>
      </w:r>
      <w:r>
        <w:rPr>
          <w:i/>
          <w:iCs/>
        </w:rPr>
        <w:t xml:space="preserve">Enabling Sustainability and Circularity in </w:t>
      </w:r>
      <w:r w:rsidRPr="00350A3E">
        <w:rPr>
          <w:i/>
          <w:iCs/>
          <w:highlight w:val="yellow"/>
        </w:rPr>
        <w:t>the Garment and Footwear Sector:</w:t>
      </w:r>
      <w:r>
        <w:rPr>
          <w:i/>
          <w:iCs/>
        </w:rPr>
        <w:t>Policy Development and Industry Perspectives on Traceability and Transparency</w:t>
      </w:r>
      <w:r>
        <w:t>。本報告書は、国連欧州経済委員会</w:t>
      </w:r>
      <w:r>
        <w:t xml:space="preserve"> (ECE) </w:t>
      </w:r>
      <w:r>
        <w:t>のプロジェクト</w:t>
      </w:r>
      <w:r>
        <w:t xml:space="preserve"> </w:t>
      </w:r>
      <w:r w:rsidRPr="0073658D">
        <w:rPr>
          <w:highlight w:val="yellow"/>
        </w:rPr>
        <w:t>「衣類・履物分野におけるより持続可能なバリューチェーンのためのトレーサビリティと透明性の強化」</w:t>
      </w:r>
      <w:r>
        <w:t xml:space="preserve"> </w:t>
      </w:r>
      <w:r>
        <w:t>の主要なアウトプットである、勧告第</w:t>
      </w:r>
      <w:r>
        <w:t>46</w:t>
      </w:r>
      <w:r>
        <w:t>号の起草の背景作業として</w:t>
      </w:r>
      <w:r>
        <w:t>2020</w:t>
      </w:r>
      <w:r>
        <w:t>年に実施された机上・実地調査の結果とその実施指針、行動喚起をまとめたものである。このプロジェクトは、国際貿易センター</w:t>
      </w:r>
      <w:r>
        <w:t xml:space="preserve"> (ITC) </w:t>
      </w:r>
      <w:r>
        <w:t>と協力して国連貿易円滑化・電子ビジネスセンター</w:t>
      </w:r>
      <w:r>
        <w:t xml:space="preserve"> (UN/CEFACT) </w:t>
      </w:r>
      <w:r>
        <w:t>と共同で実施されており、欧州連合からの資金提供を受けている</w:t>
      </w:r>
      <w:r>
        <w:t>;</w:t>
      </w:r>
      <w:r>
        <w:t>および</w:t>
      </w:r>
    </w:p>
    <w:p w14:paraId="791AD02A" w14:textId="77777777" w:rsidR="001752E7" w:rsidRDefault="001752E7" w:rsidP="00082D64">
      <w:pPr>
        <w:pStyle w:val="Bullet1G"/>
        <w:numPr>
          <w:ilvl w:val="0"/>
          <w:numId w:val="42"/>
        </w:numPr>
        <w:ind w:leftChars="284" w:left="993" w:right="141" w:hanging="425"/>
      </w:pPr>
      <w:r>
        <w:t>ECE/TRADE/C/CEFACT/2022/INF.1</w:t>
      </w:r>
      <w:r w:rsidRPr="00350A3E">
        <w:rPr>
          <w:highlight w:val="yellow"/>
        </w:rPr>
        <w:t>,</w:t>
      </w:r>
      <w:r w:rsidRPr="00350A3E">
        <w:rPr>
          <w:i/>
          <w:iCs/>
          <w:highlight w:val="yellow"/>
        </w:rPr>
        <w:t>衣服と履物のバリューチェーンにおけるコードリストと識別子に関するリファレンスガイド</w:t>
      </w:r>
      <w:r>
        <w:t>。コードと識別子は、マシンツーマシンの情報フローに不可欠な要素である。これらは、一貫した意味論を保証するために正確性を容易に検証できる標準化されたデータの流れを容易にするために、時間をかけて開発されてきた。このリファレンスガイドの目的は、繊維と革のバリューチェーンにおけるトレーサビリティと透明性のためのビジネスプロセスと取引をサポートするコードリストと識別スキームを特定し、記述することです。</w:t>
      </w:r>
    </w:p>
    <w:p w14:paraId="14B0CD87" w14:textId="3B617DE3" w:rsidR="001752E7" w:rsidRDefault="00E37917" w:rsidP="00082D64">
      <w:pPr>
        <w:pStyle w:val="Bullet1G"/>
        <w:numPr>
          <w:ilvl w:val="0"/>
          <w:numId w:val="0"/>
        </w:numPr>
        <w:ind w:leftChars="71" w:left="566" w:right="141" w:hangingChars="212" w:hanging="424"/>
      </w:pPr>
      <w:r>
        <w:t>22.</w:t>
      </w:r>
      <w:r>
        <w:tab/>
      </w:r>
      <w:r>
        <w:t>事務局は、勧告</w:t>
      </w:r>
      <w:r>
        <w:t xml:space="preserve">No.46 </w:t>
      </w:r>
      <w:r>
        <w:t>「衣服・履物分野における持続可能なバリューチェーンの透明性とトレーサビリティの強化</w:t>
      </w:r>
      <w:r>
        <w:t xml:space="preserve"> (ECE/TRADE/C/CEFACT/2020/6/Rev.1) - </w:t>
      </w:r>
      <w:r>
        <w:t>「持続可能性の誓約」</w:t>
      </w:r>
      <w:r>
        <w:t xml:space="preserve"> </w:t>
      </w:r>
      <w:r>
        <w:t>のための行動の呼びかけの進捗状況に関する本会議を更新した。</w:t>
      </w:r>
      <w:r>
        <w:t>ECE</w:t>
      </w:r>
      <w:r>
        <w:t>は</w:t>
      </w:r>
      <w:r>
        <w:t>350</w:t>
      </w:r>
      <w:r>
        <w:t>の業界関係者から約</w:t>
      </w:r>
      <w:r>
        <w:t>100</w:t>
      </w:r>
      <w:r>
        <w:t>の公約を受け取り、消費者や企業からの高い需要を示した。事務局は、衣服と履物のトレーサビリティに関する</w:t>
      </w:r>
      <w:r>
        <w:t>ECE</w:t>
      </w:r>
      <w:r>
        <w:t>ツールキットの更新を普及させるよう要請し、プロジェクトへの感謝の声明に対するロシア連邦の代表団に感謝した。</w:t>
      </w:r>
    </w:p>
    <w:p w14:paraId="5DC967AB" w14:textId="06F3ED75" w:rsidR="001752E7" w:rsidRDefault="00E37917" w:rsidP="00082D64">
      <w:pPr>
        <w:pStyle w:val="Bullet1G"/>
        <w:numPr>
          <w:ilvl w:val="0"/>
          <w:numId w:val="0"/>
        </w:numPr>
        <w:ind w:leftChars="71" w:left="566" w:right="141" w:hangingChars="212" w:hanging="424"/>
        <w:rPr>
          <w:b/>
          <w:bCs/>
          <w:highlight w:val="yellow"/>
        </w:rPr>
      </w:pPr>
      <w:r>
        <w:t>23.</w:t>
      </w:r>
      <w:r>
        <w:tab/>
      </w:r>
      <w:r>
        <w:t>議長は、</w:t>
      </w:r>
      <w:r w:rsidR="00042939">
        <w:t>UN/CEFACT</w:t>
      </w:r>
      <w:r>
        <w:t>の専門家及びプロジェクトリーダーの努力に謝意を表明した。</w:t>
      </w:r>
    </w:p>
    <w:p w14:paraId="129AEABC" w14:textId="49CAE552" w:rsidR="001752E7" w:rsidRPr="00C30571" w:rsidRDefault="001752E7" w:rsidP="00082D64">
      <w:pPr>
        <w:pStyle w:val="Bullet1G"/>
        <w:numPr>
          <w:ilvl w:val="0"/>
          <w:numId w:val="0"/>
        </w:numPr>
        <w:ind w:leftChars="71" w:left="568" w:right="141" w:hangingChars="212" w:hanging="426"/>
        <w:rPr>
          <w:highlight w:val="yellow"/>
          <w:lang w:val="fr-FR"/>
        </w:rPr>
      </w:pPr>
      <w:r>
        <w:rPr>
          <w:b/>
          <w:bCs/>
        </w:rPr>
        <w:t>本会議決定</w:t>
      </w:r>
      <w:r>
        <w:rPr>
          <w:b/>
          <w:bCs/>
        </w:rPr>
        <w:t>22-07:</w:t>
      </w:r>
      <w:r>
        <w:t>本会議は、循環経済と持続可能な資源利用のための国際的なバリューチェーンに沿った製品のトレーサビリティの強化に関する</w:t>
      </w:r>
      <w:r>
        <w:t>ECE</w:t>
      </w:r>
      <w:r>
        <w:t>報告書</w:t>
      </w:r>
      <w:r>
        <w:t xml:space="preserve"> (ECE/TRADE/C/CEFACT/2022/8) </w:t>
      </w:r>
      <w:r>
        <w:t>に留意した。</w:t>
      </w:r>
      <w:r w:rsidRPr="00C30571">
        <w:rPr>
          <w:lang w:val="fr-FR"/>
        </w:rPr>
        <w:t>ECE Report on Blockchain Pilots in the Garment and Footwear Sector (ECE/TRADE/C/CEFACT/2022/9);</w:t>
      </w:r>
      <w:r>
        <w:t>衣服と履物のバリューチェーンにおけるコードリストと識別子に関する</w:t>
      </w:r>
      <w:r w:rsidRPr="00C30571">
        <w:rPr>
          <w:lang w:val="fr-FR"/>
        </w:rPr>
        <w:t>ECE</w:t>
      </w:r>
      <w:r>
        <w:t>ガイド</w:t>
      </w:r>
      <w:r w:rsidRPr="00C30571">
        <w:rPr>
          <w:lang w:val="fr-FR"/>
        </w:rPr>
        <w:t xml:space="preserve"> (ECE/TRADE/C/CEFACT/2022/10);</w:t>
      </w:r>
      <w:r>
        <w:t>および繊維と革のバリューチェーンのコードリストと識別子に関するリファレンスガイド</w:t>
      </w:r>
      <w:r w:rsidRPr="00C30571">
        <w:rPr>
          <w:lang w:val="fr-FR"/>
        </w:rPr>
        <w:t xml:space="preserve"> (ECE/TRADE/C/CEFACT/2022/INF.1)</w:t>
      </w:r>
    </w:p>
    <w:p w14:paraId="5643C8FA" w14:textId="3DF6DE2C" w:rsidR="001E123A" w:rsidRPr="00966A06" w:rsidRDefault="001E123A" w:rsidP="001E123A">
      <w:pPr>
        <w:pStyle w:val="HChG"/>
        <w:rPr>
          <w:sz w:val="22"/>
          <w:szCs w:val="22"/>
          <w:lang w:eastAsia="ja-JP"/>
        </w:rPr>
      </w:pPr>
      <w:r w:rsidRPr="00C30571">
        <w:rPr>
          <w:lang w:val="fr-FR"/>
        </w:rPr>
        <w:lastRenderedPageBreak/>
        <w:tab/>
      </w:r>
      <w:r w:rsidRPr="0073658D">
        <w:rPr>
          <w:highlight w:val="yellow"/>
        </w:rPr>
        <w:t>VIII</w:t>
      </w:r>
      <w:r w:rsidR="00966A06" w:rsidRPr="0073658D">
        <w:rPr>
          <w:rFonts w:hint="eastAsia"/>
          <w:highlight w:val="yellow"/>
          <w:lang w:eastAsia="ja-JP"/>
        </w:rPr>
        <w:t xml:space="preserve">. </w:t>
      </w:r>
      <w:r w:rsidR="00966A06" w:rsidRPr="0073658D">
        <w:rPr>
          <w:highlight w:val="yellow"/>
          <w:lang w:eastAsia="ja-JP"/>
        </w:rPr>
        <w:t xml:space="preserve">Standards for noting (agenda item 5c) </w:t>
      </w:r>
      <w:r w:rsidR="00966A06" w:rsidRPr="0073658D">
        <w:rPr>
          <w:rFonts w:hint="eastAsia"/>
          <w:highlight w:val="yellow"/>
          <w:lang w:eastAsia="ja-JP"/>
        </w:rPr>
        <w:t xml:space="preserve"> </w:t>
      </w:r>
      <w:r w:rsidR="00966A06" w:rsidRPr="0073658D">
        <w:rPr>
          <w:rFonts w:hint="eastAsia"/>
          <w:sz w:val="22"/>
          <w:szCs w:val="22"/>
          <w:highlight w:val="yellow"/>
          <w:lang w:eastAsia="ja-JP"/>
        </w:rPr>
        <w:t>標準に関する連絡</w:t>
      </w:r>
    </w:p>
    <w:p w14:paraId="4C76759D" w14:textId="51EF2186" w:rsidR="00A50C9D" w:rsidRPr="0052594F" w:rsidRDefault="00A855C0" w:rsidP="008271B6">
      <w:pPr>
        <w:pStyle w:val="SingleTxtG"/>
        <w:ind w:leftChars="71" w:left="566" w:right="141" w:hangingChars="212" w:hanging="424"/>
      </w:pPr>
      <w:r>
        <w:t>24.</w:t>
      </w:r>
      <w:r>
        <w:tab/>
      </w:r>
      <w:r>
        <w:t>議長は、前回の本会議以降、合意された</w:t>
      </w:r>
      <w:r w:rsidR="00042939">
        <w:t>UN/CEFACT</w:t>
      </w:r>
      <w:r>
        <w:t>の手続きに従って、事務局が以下を</w:t>
      </w:r>
      <w:r w:rsidR="00966A06">
        <w:rPr>
          <w:rFonts w:hint="eastAsia"/>
          <w:lang w:eastAsia="ja-JP"/>
        </w:rPr>
        <w:t>発行</w:t>
      </w:r>
      <w:r>
        <w:t>したことを発表した。</w:t>
      </w:r>
    </w:p>
    <w:p w14:paraId="778AECE3" w14:textId="45E5AA01" w:rsidR="00A50C9D" w:rsidRPr="0073658D" w:rsidRDefault="00A50C9D" w:rsidP="008271B6">
      <w:pPr>
        <w:pStyle w:val="Bullet1G"/>
        <w:ind w:leftChars="284" w:left="992" w:right="141" w:hangingChars="212" w:hanging="424"/>
        <w:rPr>
          <w:highlight w:val="magenta"/>
        </w:rPr>
      </w:pPr>
      <w:r w:rsidRPr="0073658D">
        <w:rPr>
          <w:highlight w:val="magenta"/>
        </w:rPr>
        <w:t>UN/CEFACT Core Component Library</w:t>
      </w:r>
      <w:r w:rsidRPr="0073658D">
        <w:rPr>
          <w:highlight w:val="magenta"/>
        </w:rPr>
        <w:t>のバージョン</w:t>
      </w:r>
      <w:r w:rsidRPr="0073658D">
        <w:rPr>
          <w:highlight w:val="magenta"/>
        </w:rPr>
        <w:t>21 A, 21 B, 22 A;</w:t>
      </w:r>
    </w:p>
    <w:p w14:paraId="27AEAD0A" w14:textId="16B7BE02" w:rsidR="00A50C9D" w:rsidRPr="0073658D" w:rsidRDefault="00A50C9D" w:rsidP="008271B6">
      <w:pPr>
        <w:pStyle w:val="Bullet1G"/>
        <w:ind w:leftChars="284" w:left="992" w:right="141" w:hangingChars="212" w:hanging="424"/>
        <w:rPr>
          <w:highlight w:val="magenta"/>
        </w:rPr>
      </w:pPr>
      <w:r w:rsidRPr="0073658D">
        <w:rPr>
          <w:highlight w:val="magenta"/>
        </w:rPr>
        <w:t>UN/CEFACT XML Schema Library</w:t>
      </w:r>
      <w:r w:rsidRPr="0073658D">
        <w:rPr>
          <w:highlight w:val="magenta"/>
        </w:rPr>
        <w:t>のバージョン</w:t>
      </w:r>
      <w:r w:rsidRPr="0073658D">
        <w:rPr>
          <w:highlight w:val="magenta"/>
        </w:rPr>
        <w:t>21 A</w:t>
      </w:r>
      <w:r w:rsidRPr="0073658D">
        <w:rPr>
          <w:highlight w:val="magenta"/>
        </w:rPr>
        <w:t>、</w:t>
      </w:r>
      <w:r w:rsidRPr="0073658D">
        <w:rPr>
          <w:highlight w:val="magenta"/>
        </w:rPr>
        <w:t>21 B</w:t>
      </w:r>
      <w:r w:rsidRPr="0073658D">
        <w:rPr>
          <w:highlight w:val="magenta"/>
        </w:rPr>
        <w:t>および</w:t>
      </w:r>
      <w:r w:rsidRPr="0073658D">
        <w:rPr>
          <w:highlight w:val="magenta"/>
        </w:rPr>
        <w:t>22 A;</w:t>
      </w:r>
    </w:p>
    <w:p w14:paraId="733113C0" w14:textId="22011DCF" w:rsidR="00A50C9D" w:rsidRDefault="00A50C9D" w:rsidP="008271B6">
      <w:pPr>
        <w:pStyle w:val="Bullet1G"/>
        <w:ind w:leftChars="284" w:left="992" w:right="141" w:hangingChars="212" w:hanging="424"/>
      </w:pPr>
      <w:r w:rsidRPr="0073658D">
        <w:rPr>
          <w:highlight w:val="yellow"/>
        </w:rPr>
        <w:t>UN/EDIFACT</w:t>
      </w:r>
      <w:r w:rsidRPr="0073658D">
        <w:rPr>
          <w:highlight w:val="yellow"/>
        </w:rPr>
        <w:t>ディレクトリ</w:t>
      </w:r>
      <w:r>
        <w:t>のバージョン</w:t>
      </w:r>
      <w:r>
        <w:t>D .21 A, D .21 B, D .22 A;</w:t>
      </w:r>
    </w:p>
    <w:p w14:paraId="3CCF92A7" w14:textId="1FE141D4" w:rsidR="00A50C9D" w:rsidRDefault="00A50C9D" w:rsidP="008271B6">
      <w:pPr>
        <w:pStyle w:val="Bullet1G"/>
        <w:ind w:leftChars="284" w:left="992" w:right="141" w:hangingChars="212" w:hanging="424"/>
      </w:pPr>
      <w:r w:rsidRPr="0073658D">
        <w:rPr>
          <w:highlight w:val="yellow"/>
        </w:rPr>
        <w:t>UN/LOCODE</w:t>
      </w:r>
      <w:r w:rsidRPr="0073658D">
        <w:rPr>
          <w:highlight w:val="yellow"/>
        </w:rPr>
        <w:t>ディレクトリ</w:t>
      </w:r>
      <w:r>
        <w:t>のバージョン</w:t>
      </w:r>
      <w:r>
        <w:t>2021-1</w:t>
      </w:r>
      <w:r>
        <w:t>、</w:t>
      </w:r>
      <w:r>
        <w:t>2021-2</w:t>
      </w:r>
      <w:r>
        <w:t>、</w:t>
      </w:r>
      <w:r>
        <w:t>2022-1;</w:t>
      </w:r>
    </w:p>
    <w:p w14:paraId="0239EBB6" w14:textId="1FA71B43" w:rsidR="00A50C9D" w:rsidRPr="0073658D" w:rsidRDefault="00A50C9D" w:rsidP="008271B6">
      <w:pPr>
        <w:pStyle w:val="Bullet1G"/>
        <w:ind w:leftChars="284" w:left="992" w:right="141" w:hangingChars="212" w:hanging="424"/>
        <w:rPr>
          <w:highlight w:val="magenta"/>
        </w:rPr>
      </w:pPr>
      <w:r w:rsidRPr="0073658D">
        <w:rPr>
          <w:highlight w:val="magenta"/>
        </w:rPr>
        <w:t>バージョン</w:t>
      </w:r>
      <w:r w:rsidRPr="0073658D">
        <w:rPr>
          <w:highlight w:val="magenta"/>
        </w:rPr>
        <w:t>1.1</w:t>
      </w:r>
      <w:r w:rsidRPr="0073658D">
        <w:rPr>
          <w:highlight w:val="magenta"/>
        </w:rPr>
        <w:t>の</w:t>
      </w:r>
      <w:r w:rsidRPr="0073658D">
        <w:rPr>
          <w:highlight w:val="magenta"/>
        </w:rPr>
        <w:t>Core Components Business Document Assembly Technical Specification (CCBDA);</w:t>
      </w:r>
    </w:p>
    <w:p w14:paraId="03144CD5" w14:textId="277EEE66" w:rsidR="00A50C9D" w:rsidRPr="0073658D" w:rsidRDefault="00A50C9D" w:rsidP="008271B6">
      <w:pPr>
        <w:pStyle w:val="Bullet1G"/>
        <w:ind w:leftChars="284" w:left="992" w:right="141" w:hangingChars="212" w:hanging="424"/>
        <w:rPr>
          <w:highlight w:val="magenta"/>
        </w:rPr>
      </w:pPr>
      <w:r w:rsidRPr="0073658D">
        <w:rPr>
          <w:highlight w:val="magenta"/>
        </w:rPr>
        <w:t>CCTS 2.01</w:t>
      </w:r>
      <w:r w:rsidRPr="0073658D">
        <w:rPr>
          <w:highlight w:val="magenta"/>
        </w:rPr>
        <w:t>の</w:t>
      </w:r>
      <w:r w:rsidRPr="0073658D">
        <w:rPr>
          <w:highlight w:val="magenta"/>
        </w:rPr>
        <w:t>XML</w:t>
      </w:r>
      <w:r w:rsidRPr="0073658D">
        <w:rPr>
          <w:highlight w:val="magenta"/>
        </w:rPr>
        <w:t>命名規則および設計規則のバージョン</w:t>
      </w:r>
      <w:r w:rsidRPr="0073658D">
        <w:rPr>
          <w:highlight w:val="magenta"/>
        </w:rPr>
        <w:t>2.1.1;</w:t>
      </w:r>
    </w:p>
    <w:p w14:paraId="3CD44533" w14:textId="4B8C74C7" w:rsidR="00A50C9D" w:rsidRPr="0073658D" w:rsidRDefault="00A50C9D" w:rsidP="008271B6">
      <w:pPr>
        <w:pStyle w:val="Bullet1G"/>
        <w:ind w:leftChars="284" w:left="992" w:right="141" w:hangingChars="212" w:hanging="424"/>
        <w:rPr>
          <w:highlight w:val="yellow"/>
        </w:rPr>
      </w:pPr>
      <w:r w:rsidRPr="0073658D">
        <w:rPr>
          <w:highlight w:val="yellow"/>
        </w:rPr>
        <w:t>アプリケーションプログラミングインタフェース技術仕様</w:t>
      </w:r>
      <w:r w:rsidRPr="0073658D">
        <w:rPr>
          <w:highlight w:val="yellow"/>
        </w:rPr>
        <w:t>JSON</w:t>
      </w:r>
      <w:r w:rsidRPr="0073658D">
        <w:rPr>
          <w:highlight w:val="yellow"/>
        </w:rPr>
        <w:t>スキーマの命名規則と設計規則</w:t>
      </w:r>
      <w:r w:rsidRPr="0073658D">
        <w:rPr>
          <w:highlight w:val="yellow"/>
        </w:rPr>
        <w:t>;</w:t>
      </w:r>
    </w:p>
    <w:p w14:paraId="366F7A62" w14:textId="6668D932" w:rsidR="00A50C9D" w:rsidRDefault="00A50C9D" w:rsidP="008271B6">
      <w:pPr>
        <w:pStyle w:val="Bullet1G"/>
        <w:ind w:leftChars="284" w:left="992" w:right="141" w:hangingChars="212" w:hanging="424"/>
      </w:pPr>
      <w:r w:rsidRPr="0073658D">
        <w:rPr>
          <w:highlight w:val="yellow"/>
        </w:rPr>
        <w:t>アプリケーションプログラミングインタフェース技術仕様オープン</w:t>
      </w:r>
      <w:r w:rsidRPr="0073658D">
        <w:rPr>
          <w:highlight w:val="yellow"/>
        </w:rPr>
        <w:t>API</w:t>
      </w:r>
      <w:r w:rsidRPr="0073658D">
        <w:rPr>
          <w:highlight w:val="yellow"/>
        </w:rPr>
        <w:t>の命名規則と設計規則</w:t>
      </w:r>
      <w:r>
        <w:t>;</w:t>
      </w:r>
    </w:p>
    <w:p w14:paraId="6DB6D106" w14:textId="5F614A60" w:rsidR="00A50C9D" w:rsidRPr="0073658D" w:rsidRDefault="00A50C9D" w:rsidP="008271B6">
      <w:pPr>
        <w:pStyle w:val="Bullet1G"/>
        <w:ind w:leftChars="284" w:left="992" w:right="141" w:hangingChars="212" w:hanging="424"/>
        <w:rPr>
          <w:highlight w:val="magenta"/>
        </w:rPr>
      </w:pPr>
      <w:r w:rsidRPr="0073658D">
        <w:rPr>
          <w:highlight w:val="magenta"/>
        </w:rPr>
        <w:t>Experience Programs Information Exchange e-business</w:t>
      </w:r>
      <w:r w:rsidRPr="0073658D">
        <w:rPr>
          <w:highlight w:val="magenta"/>
        </w:rPr>
        <w:t>標準</w:t>
      </w:r>
      <w:r w:rsidRPr="0073658D">
        <w:rPr>
          <w:highlight w:val="magenta"/>
        </w:rPr>
        <w:t>;</w:t>
      </w:r>
    </w:p>
    <w:p w14:paraId="197DC1B4" w14:textId="326F1E57" w:rsidR="00A50C9D" w:rsidRPr="0073658D" w:rsidRDefault="00A50C9D" w:rsidP="008271B6">
      <w:pPr>
        <w:pStyle w:val="Bullet1G"/>
        <w:ind w:leftChars="284" w:left="992" w:right="141" w:hangingChars="212" w:hanging="424"/>
        <w:rPr>
          <w:highlight w:val="yellow"/>
        </w:rPr>
      </w:pPr>
      <w:r w:rsidRPr="0073658D">
        <w:rPr>
          <w:highlight w:val="yellow"/>
        </w:rPr>
        <w:t>マルチモーダル輸送のための統合トラックとトレースのビジネス要件仕様</w:t>
      </w:r>
      <w:r w:rsidRPr="0073658D">
        <w:rPr>
          <w:highlight w:val="yellow"/>
        </w:rPr>
        <w:t>;</w:t>
      </w:r>
    </w:p>
    <w:p w14:paraId="087CC6DF" w14:textId="6BEBC4CC" w:rsidR="00A50C9D" w:rsidRPr="0073658D" w:rsidRDefault="00A50C9D" w:rsidP="008271B6">
      <w:pPr>
        <w:pStyle w:val="Bullet1G"/>
        <w:ind w:leftChars="284" w:left="992" w:right="141" w:hangingChars="212" w:hanging="424"/>
        <w:rPr>
          <w:highlight w:val="yellow"/>
        </w:rPr>
      </w:pPr>
      <w:r w:rsidRPr="0073658D">
        <w:rPr>
          <w:highlight w:val="yellow"/>
        </w:rPr>
        <w:t>優先</w:t>
      </w:r>
      <w:r w:rsidRPr="0073658D">
        <w:rPr>
          <w:highlight w:val="yellow"/>
        </w:rPr>
        <w:t>E-Certificate of Origin e-business</w:t>
      </w:r>
      <w:r w:rsidRPr="0073658D">
        <w:rPr>
          <w:highlight w:val="yellow"/>
        </w:rPr>
        <w:t>規格</w:t>
      </w:r>
      <w:r w:rsidRPr="0073658D">
        <w:rPr>
          <w:highlight w:val="yellow"/>
        </w:rPr>
        <w:t>;</w:t>
      </w:r>
    </w:p>
    <w:p w14:paraId="35E6207F" w14:textId="68CDAA7C" w:rsidR="00A50C9D" w:rsidRPr="0073658D" w:rsidRDefault="00A50C9D" w:rsidP="008271B6">
      <w:pPr>
        <w:pStyle w:val="Bullet1G"/>
        <w:ind w:leftChars="284" w:left="992" w:right="141" w:hangingChars="212" w:hanging="424"/>
        <w:rPr>
          <w:highlight w:val="yellow"/>
        </w:rPr>
      </w:pPr>
      <w:r w:rsidRPr="0073658D">
        <w:rPr>
          <w:highlight w:val="yellow"/>
        </w:rPr>
        <w:t>取引情報ポータルのビジネス要件仕様</w:t>
      </w:r>
      <w:r w:rsidRPr="0073658D">
        <w:rPr>
          <w:highlight w:val="yellow"/>
        </w:rPr>
        <w:t>;</w:t>
      </w:r>
    </w:p>
    <w:p w14:paraId="5879668D" w14:textId="76AF3C28" w:rsidR="00A50C9D" w:rsidRPr="0073658D" w:rsidRDefault="00A50C9D" w:rsidP="008271B6">
      <w:pPr>
        <w:pStyle w:val="Bullet1G"/>
        <w:ind w:leftChars="284" w:left="992" w:right="141" w:hangingChars="212" w:hanging="424"/>
        <w:rPr>
          <w:highlight w:val="yellow"/>
        </w:rPr>
      </w:pPr>
      <w:r w:rsidRPr="0073658D">
        <w:rPr>
          <w:highlight w:val="yellow"/>
        </w:rPr>
        <w:t>クロスボーダー管理参照データモデルと</w:t>
      </w:r>
      <w:r w:rsidRPr="0073658D">
        <w:rPr>
          <w:highlight w:val="yellow"/>
        </w:rPr>
        <w:t>e-business</w:t>
      </w:r>
      <w:r w:rsidRPr="0073658D">
        <w:rPr>
          <w:highlight w:val="yellow"/>
        </w:rPr>
        <w:t>規格</w:t>
      </w:r>
      <w:r w:rsidRPr="0073658D">
        <w:rPr>
          <w:highlight w:val="yellow"/>
        </w:rPr>
        <w:t>;</w:t>
      </w:r>
    </w:p>
    <w:p w14:paraId="446014D3" w14:textId="3BA3CE41" w:rsidR="00A50C9D" w:rsidRPr="0073658D" w:rsidRDefault="00A50C9D" w:rsidP="008271B6">
      <w:pPr>
        <w:pStyle w:val="Bullet1G"/>
        <w:ind w:leftChars="284" w:left="992" w:right="141" w:hangingChars="212" w:hanging="424"/>
        <w:rPr>
          <w:highlight w:val="magenta"/>
        </w:rPr>
      </w:pPr>
      <w:r w:rsidRPr="0073658D">
        <w:rPr>
          <w:highlight w:val="magenta"/>
        </w:rPr>
        <w:t>E-Negotiation e-business</w:t>
      </w:r>
      <w:r w:rsidRPr="0073658D">
        <w:rPr>
          <w:highlight w:val="magenta"/>
        </w:rPr>
        <w:t>規格</w:t>
      </w:r>
      <w:r w:rsidRPr="0073658D">
        <w:rPr>
          <w:highlight w:val="magenta"/>
        </w:rPr>
        <w:t>;</w:t>
      </w:r>
    </w:p>
    <w:p w14:paraId="350BC82E" w14:textId="35124C63" w:rsidR="00A50C9D" w:rsidRPr="0073658D" w:rsidRDefault="00A50C9D" w:rsidP="008271B6">
      <w:pPr>
        <w:pStyle w:val="Bullet1G"/>
        <w:ind w:leftChars="284" w:left="992" w:right="141" w:hangingChars="212" w:hanging="424"/>
        <w:rPr>
          <w:highlight w:val="yellow"/>
        </w:rPr>
      </w:pPr>
      <w:r w:rsidRPr="0073658D">
        <w:rPr>
          <w:highlight w:val="yellow"/>
        </w:rPr>
        <w:t>異業種間のディスパッチおよび受信プロセスのビジネス要件仕様</w:t>
      </w:r>
      <w:r w:rsidRPr="0073658D">
        <w:rPr>
          <w:highlight w:val="yellow"/>
        </w:rPr>
        <w:t>;</w:t>
      </w:r>
    </w:p>
    <w:p w14:paraId="200B6B46" w14:textId="4352B716" w:rsidR="00A50C9D" w:rsidRPr="0073658D" w:rsidRDefault="00A50C9D" w:rsidP="008271B6">
      <w:pPr>
        <w:pStyle w:val="Bullet1G"/>
        <w:ind w:leftChars="284" w:left="992" w:right="141" w:hangingChars="212" w:hanging="424"/>
        <w:rPr>
          <w:highlight w:val="yellow"/>
        </w:rPr>
      </w:pPr>
      <w:r w:rsidRPr="0073658D">
        <w:rPr>
          <w:highlight w:val="yellow"/>
        </w:rPr>
        <w:t>Cross Industry Scheduling Process e-business</w:t>
      </w:r>
      <w:r w:rsidRPr="0073658D">
        <w:rPr>
          <w:highlight w:val="yellow"/>
        </w:rPr>
        <w:t>標準</w:t>
      </w:r>
      <w:r w:rsidRPr="0073658D">
        <w:rPr>
          <w:highlight w:val="yellow"/>
        </w:rPr>
        <w:t>;</w:t>
      </w:r>
    </w:p>
    <w:p w14:paraId="711F18BF" w14:textId="01FA1287" w:rsidR="00A50C9D" w:rsidRPr="0073658D" w:rsidRDefault="00A50C9D" w:rsidP="008271B6">
      <w:pPr>
        <w:pStyle w:val="Bullet1G"/>
        <w:ind w:leftChars="284" w:left="992" w:right="141" w:hangingChars="212" w:hanging="424"/>
        <w:rPr>
          <w:highlight w:val="yellow"/>
        </w:rPr>
      </w:pPr>
      <w:r w:rsidRPr="0073658D">
        <w:rPr>
          <w:highlight w:val="yellow"/>
        </w:rPr>
        <w:t>輸送および物流モーダル固有</w:t>
      </w:r>
      <w:r w:rsidRPr="0073658D">
        <w:rPr>
          <w:highlight w:val="yellow"/>
        </w:rPr>
        <w:t xml:space="preserve"> (</w:t>
      </w:r>
      <w:r w:rsidRPr="0073658D">
        <w:rPr>
          <w:highlight w:val="yellow"/>
        </w:rPr>
        <w:t>航空</w:t>
      </w:r>
      <w:r w:rsidRPr="0073658D">
        <w:rPr>
          <w:highlight w:val="yellow"/>
        </w:rPr>
        <w:t xml:space="preserve">) </w:t>
      </w:r>
      <w:r w:rsidRPr="0073658D">
        <w:rPr>
          <w:highlight w:val="yellow"/>
        </w:rPr>
        <w:t>の</w:t>
      </w:r>
      <w:r w:rsidRPr="0073658D">
        <w:rPr>
          <w:highlight w:val="yellow"/>
        </w:rPr>
        <w:t>e-</w:t>
      </w:r>
      <w:r w:rsidRPr="0073658D">
        <w:rPr>
          <w:highlight w:val="yellow"/>
        </w:rPr>
        <w:t>ビジネス標準</w:t>
      </w:r>
      <w:r w:rsidRPr="0073658D">
        <w:rPr>
          <w:highlight w:val="yellow"/>
        </w:rPr>
        <w:t>;</w:t>
      </w:r>
      <w:r w:rsidRPr="0073658D">
        <w:rPr>
          <w:highlight w:val="yellow"/>
        </w:rPr>
        <w:t>および</w:t>
      </w:r>
    </w:p>
    <w:p w14:paraId="510539B1" w14:textId="71A56F00" w:rsidR="00A50C9D" w:rsidRPr="0073658D" w:rsidRDefault="00A50C9D" w:rsidP="008271B6">
      <w:pPr>
        <w:pStyle w:val="Bullet1G"/>
        <w:ind w:leftChars="284" w:left="992" w:right="141" w:hangingChars="212" w:hanging="424"/>
        <w:rPr>
          <w:highlight w:val="yellow"/>
        </w:rPr>
      </w:pPr>
      <w:r w:rsidRPr="0073658D">
        <w:rPr>
          <w:highlight w:val="yellow"/>
        </w:rPr>
        <w:t>IMO FAL Compendium e-business</w:t>
      </w:r>
      <w:r w:rsidRPr="0073658D">
        <w:rPr>
          <w:highlight w:val="yellow"/>
        </w:rPr>
        <w:t>規格。</w:t>
      </w:r>
    </w:p>
    <w:p w14:paraId="50832121" w14:textId="5BF2F7AC" w:rsidR="00A50C9D" w:rsidRPr="0052594F" w:rsidRDefault="00A855C0" w:rsidP="008271B6">
      <w:pPr>
        <w:pStyle w:val="Bullet1G"/>
        <w:numPr>
          <w:ilvl w:val="0"/>
          <w:numId w:val="0"/>
        </w:numPr>
        <w:ind w:leftChars="71" w:left="566" w:right="141" w:hangingChars="212" w:hanging="424"/>
      </w:pPr>
      <w:r>
        <w:t>25.</w:t>
      </w:r>
      <w:r>
        <w:tab/>
      </w:r>
      <w:r>
        <w:t>議長は、これらの標準及び技術仕様を開発し維持する</w:t>
      </w:r>
      <w:r w:rsidR="00042939">
        <w:t>UN/CEFACT</w:t>
      </w:r>
      <w:r>
        <w:t>の技術及び</w:t>
      </w:r>
      <w:r>
        <w:t>e-</w:t>
      </w:r>
      <w:r>
        <w:t>ビジネス専門家チームに感謝の意を表明した。</w:t>
      </w:r>
    </w:p>
    <w:p w14:paraId="519AC30F" w14:textId="77777777" w:rsidR="00A50C9D" w:rsidRPr="0052594F" w:rsidRDefault="00A50C9D" w:rsidP="008271B6">
      <w:pPr>
        <w:pStyle w:val="SingleTxtG"/>
        <w:ind w:leftChars="71" w:left="568" w:right="141" w:hangingChars="212" w:hanging="426"/>
      </w:pPr>
      <w:r>
        <w:rPr>
          <w:b/>
          <w:bCs/>
        </w:rPr>
        <w:t>本会議決定</w:t>
      </w:r>
      <w:r>
        <w:rPr>
          <w:b/>
          <w:bCs/>
        </w:rPr>
        <w:t>22-08:</w:t>
      </w:r>
      <w:r>
        <w:t>本会議は、議長が提示した基準と技術仕様に留意し、それらを定期的に更新し続けるよう要請した。</w:t>
      </w:r>
    </w:p>
    <w:p w14:paraId="7A01E0BA" w14:textId="11D0D161" w:rsidR="00426CD4" w:rsidRPr="00A855C0" w:rsidRDefault="00A855C0" w:rsidP="00CA5182">
      <w:pPr>
        <w:pStyle w:val="HChG"/>
      </w:pPr>
      <w:r>
        <w:tab/>
      </w:r>
      <w:r w:rsidRPr="00053DD6">
        <w:rPr>
          <w:highlight w:val="yellow"/>
        </w:rPr>
        <w:t>IX</w:t>
      </w:r>
      <w:r w:rsidR="00966A06" w:rsidRPr="00053DD6">
        <w:rPr>
          <w:rFonts w:hint="eastAsia"/>
          <w:highlight w:val="yellow"/>
          <w:lang w:eastAsia="ja-JP"/>
        </w:rPr>
        <w:t xml:space="preserve">. </w:t>
      </w:r>
      <w:r w:rsidR="00966A06" w:rsidRPr="00053DD6">
        <w:rPr>
          <w:highlight w:val="yellow"/>
        </w:rPr>
        <w:t xml:space="preserve">Implementation support material (agenda item 5d) </w:t>
      </w:r>
      <w:r w:rsidR="008271B6" w:rsidRPr="00053DD6">
        <w:rPr>
          <w:rFonts w:hint="eastAsia"/>
          <w:sz w:val="22"/>
          <w:szCs w:val="22"/>
          <w:highlight w:val="yellow"/>
          <w:lang w:eastAsia="ja-JP"/>
        </w:rPr>
        <w:t>導入</w:t>
      </w:r>
      <w:r w:rsidRPr="00053DD6">
        <w:rPr>
          <w:sz w:val="22"/>
          <w:szCs w:val="22"/>
          <w:highlight w:val="yellow"/>
        </w:rPr>
        <w:t>支援資料</w:t>
      </w:r>
      <w:r>
        <w:t xml:space="preserve"> </w:t>
      </w:r>
    </w:p>
    <w:p w14:paraId="40B0A0E5" w14:textId="1C4E4D85" w:rsidR="008C6812" w:rsidRPr="00737D60" w:rsidRDefault="00A855C0" w:rsidP="008271B6">
      <w:pPr>
        <w:pStyle w:val="SingleTxtG"/>
        <w:ind w:leftChars="71" w:left="566" w:right="141" w:hangingChars="212" w:hanging="424"/>
      </w:pPr>
      <w:r>
        <w:t>26.</w:t>
      </w:r>
      <w:r>
        <w:tab/>
        <w:t>UN/CEFACT eDATA Management Domain</w:t>
      </w:r>
      <w:r>
        <w:t>は、以下の成果物を本会議に提供し、注意を促した。</w:t>
      </w:r>
    </w:p>
    <w:p w14:paraId="53193527" w14:textId="77777777" w:rsidR="008C6812" w:rsidRDefault="008C6812" w:rsidP="008271B6">
      <w:pPr>
        <w:pStyle w:val="Bullet1G"/>
        <w:ind w:leftChars="284" w:left="992" w:right="141" w:hangingChars="212" w:hanging="424"/>
      </w:pPr>
      <w:r>
        <w:t>文書</w:t>
      </w:r>
      <w:r>
        <w:t>ECE/TRADE/C/CEFACT/2022/11</w:t>
      </w:r>
      <w:r>
        <w:t>、</w:t>
      </w:r>
      <w:r>
        <w:rPr>
          <w:i/>
          <w:iCs/>
        </w:rPr>
        <w:t>貿易円滑化におけるモノのインターネット</w:t>
      </w:r>
      <w:r>
        <w:rPr>
          <w:i/>
          <w:iCs/>
        </w:rPr>
        <w:t>:</w:t>
      </w:r>
      <w:r>
        <w:rPr>
          <w:i/>
          <w:iCs/>
        </w:rPr>
        <w:t>サプライチェーンと政府サービスにおけるモノのインターネットに関する</w:t>
      </w:r>
      <w:r>
        <w:rPr>
          <w:i/>
          <w:iCs/>
        </w:rPr>
        <w:t>eDATA</w:t>
      </w:r>
      <w:r>
        <w:rPr>
          <w:i/>
          <w:iCs/>
        </w:rPr>
        <w:t>管理ドメインの報告書</w:t>
      </w:r>
      <w:r>
        <w:t>。このドキュメントでは、モノのインターネット</w:t>
      </w:r>
      <w:r>
        <w:t xml:space="preserve"> (IoT) </w:t>
      </w:r>
      <w:r>
        <w:t>の利点を概説し、</w:t>
      </w:r>
      <w:r>
        <w:t>IoT</w:t>
      </w:r>
      <w:r>
        <w:t>を貿易を支援するために具体的にどのように使用できるか、および</w:t>
      </w:r>
      <w:r w:rsidRPr="00053DD6">
        <w:rPr>
          <w:highlight w:val="yellow"/>
        </w:rPr>
        <w:t>IoT</w:t>
      </w:r>
      <w:r w:rsidRPr="00053DD6">
        <w:rPr>
          <w:highlight w:val="yellow"/>
        </w:rPr>
        <w:t>システム</w:t>
      </w:r>
      <w:r>
        <w:t>の実装者が直面するいくつかの法的課題について考察している。</w:t>
      </w:r>
    </w:p>
    <w:p w14:paraId="0918E958" w14:textId="77777777" w:rsidR="008C6812" w:rsidRDefault="008C6812" w:rsidP="008271B6">
      <w:pPr>
        <w:pStyle w:val="Bullet1G"/>
        <w:ind w:leftChars="284" w:left="992" w:right="141" w:hangingChars="212" w:hanging="424"/>
      </w:pPr>
      <w:r>
        <w:t>文書</w:t>
      </w:r>
      <w:r>
        <w:t xml:space="preserve">ECE/TRADE/C/CEFACT/2022/12 </w:t>
      </w:r>
      <w:r>
        <w:rPr>
          <w:i/>
          <w:iCs/>
        </w:rPr>
        <w:t>Report of the eDATA Management Domain on the Internet of Things in Trade Facilitation:Guide to Internet of Things Technology, Communications and Connectivity was</w:t>
      </w:r>
      <w:r>
        <w:t>が本会議に提出され、注目された。このドキュメントでは、</w:t>
      </w:r>
      <w:r w:rsidRPr="00053DD6">
        <w:rPr>
          <w:highlight w:val="yellow"/>
        </w:rPr>
        <w:t>貿易関連アプリケーションの</w:t>
      </w:r>
      <w:r w:rsidRPr="00053DD6">
        <w:rPr>
          <w:highlight w:val="yellow"/>
        </w:rPr>
        <w:t>IoT</w:t>
      </w:r>
      <w:r w:rsidRPr="00053DD6">
        <w:rPr>
          <w:highlight w:val="yellow"/>
        </w:rPr>
        <w:t>で使用される技術の概要</w:t>
      </w:r>
      <w:r>
        <w:t>を説明します。目的は、情報技術の実装を担当するマネージャーがアクセスできる説明を提供することです。</w:t>
      </w:r>
    </w:p>
    <w:p w14:paraId="1BBC9615" w14:textId="77777777" w:rsidR="008C6812" w:rsidRPr="0090558F" w:rsidRDefault="008C6812" w:rsidP="008271B6">
      <w:pPr>
        <w:pStyle w:val="Bullet1G"/>
        <w:ind w:leftChars="284" w:left="992" w:right="141" w:hangingChars="212" w:hanging="424"/>
      </w:pPr>
      <w:r>
        <w:t>文書</w:t>
      </w:r>
      <w:r>
        <w:t>ECE/TRADE/C/CEFACT/2022/13</w:t>
      </w:r>
      <w:r>
        <w:t>、</w:t>
      </w:r>
      <w:r>
        <w:rPr>
          <w:i/>
          <w:iCs/>
        </w:rPr>
        <w:t>貿易円滑化のためのモノのインターネット標準に関する</w:t>
      </w:r>
      <w:r>
        <w:rPr>
          <w:i/>
          <w:iCs/>
        </w:rPr>
        <w:t>eDATA</w:t>
      </w:r>
      <w:r>
        <w:rPr>
          <w:i/>
          <w:iCs/>
        </w:rPr>
        <w:t>管理ドメインの報告書</w:t>
      </w:r>
      <w:r>
        <w:t>が本会議に提出され、注目された。このレポートでは、国際的な</w:t>
      </w:r>
      <w:r>
        <w:lastRenderedPageBreak/>
        <w:t>サプライチェーンの一部としてさまざまな関係者が運用する</w:t>
      </w:r>
      <w:r w:rsidRPr="00053DD6">
        <w:rPr>
          <w:highlight w:val="yellow"/>
        </w:rPr>
        <w:t>IoT</w:t>
      </w:r>
      <w:r w:rsidRPr="00053DD6">
        <w:rPr>
          <w:highlight w:val="yellow"/>
        </w:rPr>
        <w:t>デバイス間のデータとプロセスフローを定義</w:t>
      </w:r>
      <w:r>
        <w:t>する上で、</w:t>
      </w:r>
      <w:r>
        <w:t>UN/CEFACT</w:t>
      </w:r>
      <w:r>
        <w:t>標準が果たすことができる役割と、このデータを既存のサプライチェーン自動化プロセスに相互運用可能な方法で統合する方法を強調しています。</w:t>
      </w:r>
      <w:r>
        <w:t>IoT</w:t>
      </w:r>
      <w:r>
        <w:t>データ、プロセス、情報交換標準の例を提供し、貿易円滑化アプリケーションで</w:t>
      </w:r>
      <w:r>
        <w:t>IoT</w:t>
      </w:r>
      <w:r>
        <w:t>を広く採用するためのデータニーズを特定する。</w:t>
      </w:r>
    </w:p>
    <w:p w14:paraId="2CD6778D" w14:textId="6FA31A7D" w:rsidR="008C6812" w:rsidRPr="0090558F" w:rsidRDefault="008C6812" w:rsidP="008271B6">
      <w:pPr>
        <w:pStyle w:val="Bullet1G"/>
        <w:ind w:leftChars="284" w:left="992" w:right="141" w:hangingChars="212" w:hanging="424"/>
        <w:rPr>
          <w:b/>
          <w:bCs/>
        </w:rPr>
      </w:pPr>
      <w:r>
        <w:t>文書</w:t>
      </w:r>
      <w:r>
        <w:t>ECE/TRADE/C/CEFACT/2022/16</w:t>
      </w:r>
      <w:r>
        <w:t>、</w:t>
      </w:r>
      <w:r>
        <w:rPr>
          <w:i/>
          <w:iCs/>
        </w:rPr>
        <w:t>国境を越えた貿易のための検証可能な信任状に関する</w:t>
      </w:r>
      <w:r>
        <w:rPr>
          <w:i/>
          <w:iCs/>
        </w:rPr>
        <w:t>eDATA</w:t>
      </w:r>
      <w:r>
        <w:rPr>
          <w:i/>
          <w:iCs/>
        </w:rPr>
        <w:t>管理ドメインの報告書</w:t>
      </w:r>
      <w:r>
        <w:t>が本会議に提出され、注目された。検証可能な資格情報、リンクされたデータ、分散化された識別子に基づいて、国境を越えた貿易のデジタル化と信頼のための非常にスケーラブルな運用モデルについて説明している。さらに、国の規制当局に包括的な実施ガイダンスを提供している。</w:t>
      </w:r>
    </w:p>
    <w:p w14:paraId="3AB5207C" w14:textId="77777777" w:rsidR="008C6812" w:rsidRDefault="008C6812" w:rsidP="008271B6">
      <w:pPr>
        <w:pStyle w:val="Bullet1G"/>
        <w:numPr>
          <w:ilvl w:val="0"/>
          <w:numId w:val="0"/>
        </w:numPr>
        <w:ind w:leftChars="71" w:left="568" w:right="141" w:hangingChars="212" w:hanging="426"/>
        <w:rPr>
          <w:i/>
          <w:iCs/>
        </w:rPr>
      </w:pPr>
      <w:r>
        <w:rPr>
          <w:b/>
          <w:bCs/>
        </w:rPr>
        <w:t>本会議決定</w:t>
      </w:r>
      <w:r>
        <w:rPr>
          <w:b/>
          <w:bCs/>
        </w:rPr>
        <w:t>22-09:</w:t>
      </w:r>
      <w:r>
        <w:t>本会議は、</w:t>
      </w:r>
      <w:r>
        <w:t>eDATA</w:t>
      </w:r>
      <w:r>
        <w:t>管理分野の報告書である、貿易円滑化におけるモノのインターネット</w:t>
      </w:r>
      <w:r>
        <w:t>:</w:t>
      </w:r>
      <w:r>
        <w:t>サプライチェーンと政府サービスにおけるモノのインターネット</w:t>
      </w:r>
      <w:r>
        <w:t xml:space="preserve"> (ECE/TRADE/C/CEFACT/2022/11) </w:t>
      </w:r>
      <w:r>
        <w:t>に関する報告書、貿易円滑化におけるモノのインターネット</w:t>
      </w:r>
      <w:r>
        <w:t>:</w:t>
      </w:r>
      <w:r>
        <w:t>モノのインターネット技術、通信および接続の手引き</w:t>
      </w:r>
      <w:r>
        <w:t xml:space="preserve"> (ECE/TRADE/C/CEFACT/2022/12) </w:t>
      </w:r>
      <w:r>
        <w:t>、貿易円滑化のためのモノのインターネット標準に関する報告書</w:t>
      </w:r>
      <w:r>
        <w:t xml:space="preserve"> (ECE/TRADE/C/CEFACT/2022/13) </w:t>
      </w:r>
      <w:r>
        <w:t>、および国境を越えた貿易のための検証可能な資格証明に関する報告書</w:t>
      </w:r>
      <w:r>
        <w:t xml:space="preserve"> (ECE/TRADE/C/CEFACT/2022/16) </w:t>
      </w:r>
      <w:r>
        <w:t>に留意した。</w:t>
      </w:r>
    </w:p>
    <w:p w14:paraId="51ABFABB" w14:textId="4D4720FD" w:rsidR="008C6812" w:rsidRDefault="00EE2B1F" w:rsidP="008271B6">
      <w:pPr>
        <w:pStyle w:val="SingleTxtG"/>
        <w:ind w:leftChars="71" w:left="566" w:right="141" w:hangingChars="212" w:hanging="424"/>
      </w:pPr>
      <w:r>
        <w:t>27.</w:t>
      </w:r>
      <w:r>
        <w:tab/>
        <w:t>UN/CEFACT Finance and Payment Domain</w:t>
      </w:r>
      <w:r>
        <w:t>は、以下の成果物を本会議に提供し、注意を促した。</w:t>
      </w:r>
    </w:p>
    <w:p w14:paraId="4DBEAEED" w14:textId="77777777" w:rsidR="008C6812" w:rsidRDefault="008C6812" w:rsidP="008271B6">
      <w:pPr>
        <w:pStyle w:val="Bullet1G"/>
        <w:ind w:leftChars="284" w:left="992" w:right="141" w:hangingChars="212" w:hanging="424"/>
      </w:pPr>
      <w:r>
        <w:t>文書</w:t>
      </w:r>
      <w:r>
        <w:t>ECE/TRADE/C/CEFACT/2022/14</w:t>
      </w:r>
      <w:r>
        <w:t>、</w:t>
      </w:r>
      <w:r>
        <w:rPr>
          <w:i/>
          <w:iCs/>
        </w:rPr>
        <w:t>貿易円滑化を支援するためのオープンファイナンスに関する金融及び支払領域の報告書</w:t>
      </w:r>
      <w:r>
        <w:t>。本報告書は、</w:t>
      </w:r>
      <w:r w:rsidRPr="00053DD6">
        <w:rPr>
          <w:highlight w:val="yellow"/>
        </w:rPr>
        <w:t>オープンバンキングとオープンファイナンス</w:t>
      </w:r>
      <w:r>
        <w:t>が世界的な貿易をどのように促進できるかを理解するために、それらの経済パラダイムを調査している。欧州連合</w:t>
      </w:r>
      <w:r>
        <w:t xml:space="preserve"> (EU) </w:t>
      </w:r>
      <w:r>
        <w:t>およびその他</w:t>
      </w:r>
      <w:r>
        <w:t>7</w:t>
      </w:r>
      <w:r>
        <w:t>カ国におけるオープンバンキングの概要を説明している。報告書は、フィンテックとオープンファイナンスの定義に加えて、貿易円滑化のためのオープンファイナンスのユースケースを説明し、政策立案者と意思決定者のための方法を提案している。</w:t>
      </w:r>
    </w:p>
    <w:p w14:paraId="27498F85" w14:textId="77777777" w:rsidR="008C6812" w:rsidRDefault="008C6812" w:rsidP="008271B6">
      <w:pPr>
        <w:pStyle w:val="Bullet1G"/>
        <w:numPr>
          <w:ilvl w:val="0"/>
          <w:numId w:val="0"/>
        </w:numPr>
        <w:ind w:leftChars="71" w:left="568" w:right="141" w:hangingChars="212" w:hanging="426"/>
      </w:pPr>
      <w:r>
        <w:rPr>
          <w:b/>
          <w:bCs/>
        </w:rPr>
        <w:t>本会議決定</w:t>
      </w:r>
      <w:r>
        <w:rPr>
          <w:b/>
          <w:bCs/>
        </w:rPr>
        <w:t>22-10:</w:t>
      </w:r>
      <w:r>
        <w:t>本会議は、</w:t>
      </w:r>
      <w:r>
        <w:rPr>
          <w:i/>
          <w:iCs/>
        </w:rPr>
        <w:t>貿易円滑化を支援するためのオープンファイナンスに関する金融・支払領域報告書</w:t>
      </w:r>
      <w:r>
        <w:rPr>
          <w:i/>
          <w:iCs/>
        </w:rPr>
        <w:t xml:space="preserve"> (ECE/TRADE/C/CEFACT/2022/14)</w:t>
      </w:r>
      <w:r>
        <w:t xml:space="preserve"> </w:t>
      </w:r>
      <w:r>
        <w:t>に留意した。</w:t>
      </w:r>
    </w:p>
    <w:p w14:paraId="4C13977D" w14:textId="1774695D" w:rsidR="008C6812" w:rsidRPr="0090558F" w:rsidRDefault="00EE2B1F" w:rsidP="008271B6">
      <w:pPr>
        <w:pStyle w:val="Bullet1G"/>
        <w:numPr>
          <w:ilvl w:val="0"/>
          <w:numId w:val="0"/>
        </w:numPr>
        <w:ind w:leftChars="71" w:left="566" w:right="141" w:hangingChars="212" w:hanging="424"/>
        <w:rPr>
          <w:i/>
          <w:iCs/>
        </w:rPr>
      </w:pPr>
      <w:r>
        <w:t>28.</w:t>
      </w:r>
      <w:r>
        <w:tab/>
        <w:t>UN/CEFACT Trade Procedures Facilitation Domain</w:t>
      </w:r>
      <w:r>
        <w:t>は、以下の成果物を本会議に提供し、注意を促した。</w:t>
      </w:r>
    </w:p>
    <w:p w14:paraId="26A77CC4" w14:textId="77777777" w:rsidR="008C6812" w:rsidRPr="0090558F" w:rsidRDefault="008C6812" w:rsidP="008271B6">
      <w:pPr>
        <w:pStyle w:val="Bullet1G"/>
        <w:ind w:leftChars="284" w:left="992" w:right="141" w:hangingChars="212" w:hanging="424"/>
      </w:pPr>
      <w:r>
        <w:t>文書</w:t>
      </w:r>
      <w:r>
        <w:t>ECE/TRADE/C/CEFACT/2022/15</w:t>
      </w:r>
      <w:r>
        <w:t>、</w:t>
      </w:r>
      <w:r>
        <w:rPr>
          <w:i/>
          <w:iCs/>
        </w:rPr>
        <w:t>国家貿易円滑化機関への民間部門の参加に関する貿易手続円滑化分野の報告書</w:t>
      </w:r>
      <w:r>
        <w:t>。この報告書では、国家貿易円滑化機関</w:t>
      </w:r>
      <w:r>
        <w:t xml:space="preserve"> (NTFB) </w:t>
      </w:r>
      <w:r>
        <w:t>への民間部門の参加を強化し、その効果を高め、</w:t>
      </w:r>
      <w:r>
        <w:t>NTFB</w:t>
      </w:r>
      <w:r>
        <w:t>が貿易円滑化改革に及ぼす影響を強化するための慣行と解決策を評価している。それは、民間セクターの関与を動員するという課題に取り組み、民間セクターの貢献、所有権、代表性を強化することを目的として、</w:t>
      </w:r>
      <w:r>
        <w:t>NTFB</w:t>
      </w:r>
      <w:r>
        <w:t>の設計と促進に関するガイダンスを提供する。これは、国家貿易円滑化機関に関する</w:t>
      </w:r>
      <w:r>
        <w:t>ECE</w:t>
      </w:r>
      <w:r>
        <w:t>勧告第</w:t>
      </w:r>
      <w:r>
        <w:t>4</w:t>
      </w:r>
      <w:r>
        <w:t>号と協議アプローチに関する勧告第</w:t>
      </w:r>
      <w:r>
        <w:t>40</w:t>
      </w:r>
      <w:r>
        <w:t>号を補完するものであり、</w:t>
      </w:r>
      <w:r>
        <w:t>NTFB</w:t>
      </w:r>
      <w:r>
        <w:t>が官民対話を促進する能力に焦点を当てた洞察を提供する。</w:t>
      </w:r>
    </w:p>
    <w:p w14:paraId="026A2354" w14:textId="77777777" w:rsidR="008C6812" w:rsidRDefault="008C6812" w:rsidP="008271B6">
      <w:pPr>
        <w:pStyle w:val="Bullet1G"/>
        <w:numPr>
          <w:ilvl w:val="0"/>
          <w:numId w:val="0"/>
        </w:numPr>
        <w:ind w:leftChars="71" w:left="568" w:right="141" w:hangingChars="212" w:hanging="426"/>
      </w:pPr>
      <w:r>
        <w:rPr>
          <w:b/>
          <w:bCs/>
        </w:rPr>
        <w:t>本会議決定</w:t>
      </w:r>
      <w:r>
        <w:rPr>
          <w:b/>
          <w:bCs/>
        </w:rPr>
        <w:t>22-11:</w:t>
      </w:r>
      <w:r>
        <w:t>本会議は、</w:t>
      </w:r>
      <w:r>
        <w:rPr>
          <w:i/>
          <w:iCs/>
        </w:rPr>
        <w:t>国家貿易円滑化機関への民間部門の参加に関する貿易手続円滑化分野報告書</w:t>
      </w:r>
      <w:r>
        <w:rPr>
          <w:i/>
          <w:iCs/>
        </w:rPr>
        <w:t xml:space="preserve"> (ECE/TRADE/C/CEFACT/2022/15)</w:t>
      </w:r>
      <w:r>
        <w:t xml:space="preserve"> </w:t>
      </w:r>
      <w:r>
        <w:t>に留意した。</w:t>
      </w:r>
    </w:p>
    <w:p w14:paraId="3CDA02DD" w14:textId="10E8FAD8" w:rsidR="008C6812" w:rsidRPr="00C357B3" w:rsidRDefault="00EE2B1F" w:rsidP="008271B6">
      <w:pPr>
        <w:pStyle w:val="Bullet1G"/>
        <w:numPr>
          <w:ilvl w:val="0"/>
          <w:numId w:val="0"/>
        </w:numPr>
        <w:ind w:leftChars="71" w:left="566" w:right="141" w:hangingChars="212" w:hanging="424"/>
        <w:rPr>
          <w:lang w:val="en-US"/>
        </w:rPr>
      </w:pPr>
      <w:r>
        <w:t>29.</w:t>
      </w:r>
      <w:r>
        <w:tab/>
      </w:r>
      <w:r>
        <w:t>事務局は、</w:t>
      </w:r>
      <w:r>
        <w:rPr>
          <w:i/>
          <w:iCs/>
        </w:rPr>
        <w:t>マルチモーダル輸送のための統合されたトラックとトレースに関するサプライチェーンと調達ドメインの報告書</w:t>
      </w:r>
      <w:r>
        <w:t xml:space="preserve"> (ECE/TRADE/C/CEFACT/2021/INF.4) </w:t>
      </w:r>
      <w:r>
        <w:t>のロシア語訳を発表した。この文書は</w:t>
      </w:r>
      <w:r>
        <w:rPr>
          <w:vertAlign w:val="superscript"/>
          <w:lang w:val="en-US"/>
        </w:rPr>
        <w:t>第</w:t>
      </w:r>
      <w:r>
        <w:rPr>
          <w:vertAlign w:val="superscript"/>
          <w:lang w:val="en-US"/>
        </w:rPr>
        <w:t>27</w:t>
      </w:r>
      <w:r>
        <w:rPr>
          <w:vertAlign w:val="superscript"/>
          <w:lang w:val="en-US"/>
        </w:rPr>
        <w:t>回</w:t>
      </w:r>
      <w:r w:rsidR="00042939">
        <w:t>UN/CEFACT</w:t>
      </w:r>
      <w:r>
        <w:t>総会に提出され、ロシア語に翻訳された。</w:t>
      </w:r>
    </w:p>
    <w:p w14:paraId="12ACBEB8" w14:textId="121B0783" w:rsidR="008C6812" w:rsidRPr="00C30571" w:rsidRDefault="008C6812" w:rsidP="008271B6">
      <w:pPr>
        <w:pStyle w:val="Bullet1G"/>
        <w:numPr>
          <w:ilvl w:val="0"/>
          <w:numId w:val="0"/>
        </w:numPr>
        <w:ind w:leftChars="71" w:left="568" w:right="141" w:hangingChars="212" w:hanging="426"/>
        <w:rPr>
          <w:lang w:val="fr-FR"/>
        </w:rPr>
      </w:pPr>
      <w:r>
        <w:rPr>
          <w:b/>
          <w:bCs/>
        </w:rPr>
        <w:t>本会議決定</w:t>
      </w:r>
      <w:r>
        <w:rPr>
          <w:b/>
          <w:bCs/>
        </w:rPr>
        <w:t>22-12:</w:t>
      </w:r>
      <w:r>
        <w:t>本会議は、</w:t>
      </w:r>
      <w:r>
        <w:rPr>
          <w:i/>
          <w:iCs/>
        </w:rPr>
        <w:t>マルチモーダル輸送のための統合された経路と追跡に関するサプライチェーンと調達領域の報告書</w:t>
      </w:r>
      <w:r>
        <w:t>のロシア語訳に留意した。</w:t>
      </w:r>
      <w:r w:rsidRPr="00C30571">
        <w:rPr>
          <w:lang w:val="fr-FR"/>
        </w:rPr>
        <w:t>(ECE/TRADE/C/CEFACT/2021/INF.4)</w:t>
      </w:r>
    </w:p>
    <w:p w14:paraId="5D1B5CD0" w14:textId="1C803561" w:rsidR="00CE484F" w:rsidRPr="008271B6" w:rsidRDefault="00EE2B1F" w:rsidP="008271B6">
      <w:pPr>
        <w:pStyle w:val="HChG"/>
        <w:ind w:left="424" w:right="141" w:hangingChars="151" w:hanging="424"/>
        <w:rPr>
          <w:sz w:val="22"/>
          <w:szCs w:val="22"/>
          <w:lang w:val="fr-FR"/>
        </w:rPr>
      </w:pPr>
      <w:r w:rsidRPr="00053DD6">
        <w:rPr>
          <w:highlight w:val="yellow"/>
          <w:lang w:val="fr-FR"/>
        </w:rPr>
        <w:t>X.</w:t>
      </w:r>
      <w:r w:rsidR="008271B6" w:rsidRPr="00053DD6">
        <w:rPr>
          <w:highlight w:val="yellow"/>
          <w:lang w:val="fr-FR"/>
        </w:rPr>
        <w:t xml:space="preserve"> Support to capacity building and technical cooperaion (agenda item 5c)</w:t>
      </w:r>
      <w:r w:rsidR="008271B6">
        <w:rPr>
          <w:lang w:val="fr-FR"/>
        </w:rPr>
        <w:t xml:space="preserve"> </w:t>
      </w:r>
      <w:r w:rsidR="008271B6">
        <w:rPr>
          <w:rFonts w:hint="eastAsia"/>
          <w:lang w:val="fr-FR" w:eastAsia="ja-JP"/>
        </w:rPr>
        <w:t xml:space="preserve">　</w:t>
      </w:r>
      <w:r w:rsidRPr="00C30571">
        <w:rPr>
          <w:lang w:val="fr-FR"/>
        </w:rPr>
        <w:tab/>
      </w:r>
      <w:r w:rsidRPr="008271B6">
        <w:rPr>
          <w:sz w:val="22"/>
          <w:szCs w:val="22"/>
        </w:rPr>
        <w:t>能力</w:t>
      </w:r>
      <w:r w:rsidR="008271B6" w:rsidRPr="008271B6">
        <w:rPr>
          <w:rFonts w:hint="eastAsia"/>
          <w:sz w:val="22"/>
          <w:szCs w:val="22"/>
          <w:lang w:eastAsia="ja-JP"/>
        </w:rPr>
        <w:t>開発</w:t>
      </w:r>
      <w:r w:rsidRPr="008271B6">
        <w:rPr>
          <w:sz w:val="22"/>
          <w:szCs w:val="22"/>
        </w:rPr>
        <w:t>と技術協力への支援</w:t>
      </w:r>
    </w:p>
    <w:p w14:paraId="69CFEEC2" w14:textId="77021EB0" w:rsidR="00B65610" w:rsidRPr="00C30571" w:rsidRDefault="00EE2B1F" w:rsidP="008271B6">
      <w:pPr>
        <w:pStyle w:val="SingleTxtG"/>
        <w:ind w:leftChars="71" w:left="566" w:right="141" w:hangingChars="212" w:hanging="424"/>
        <w:rPr>
          <w:lang w:val="fr-FR"/>
        </w:rPr>
      </w:pPr>
      <w:r w:rsidRPr="00C30571">
        <w:rPr>
          <w:lang w:val="fr-FR"/>
        </w:rPr>
        <w:t>30.</w:t>
      </w:r>
      <w:r w:rsidRPr="00C30571">
        <w:rPr>
          <w:lang w:val="fr-FR"/>
        </w:rPr>
        <w:tab/>
      </w:r>
      <w:r>
        <w:t>事務局と</w:t>
      </w:r>
      <w:r w:rsidR="00042939" w:rsidRPr="00042939">
        <w:rPr>
          <w:lang w:val="fr-FR"/>
        </w:rPr>
        <w:t>UN/CEFACT</w:t>
      </w:r>
      <w:r>
        <w:t>の専門家は、能力構築と技術協力への支援に関連する文書を提示した。</w:t>
      </w:r>
    </w:p>
    <w:p w14:paraId="69076F47" w14:textId="671F4ABB" w:rsidR="00B65610" w:rsidRDefault="00EE2B1F" w:rsidP="008271B6">
      <w:pPr>
        <w:pStyle w:val="SingleTxtG"/>
        <w:ind w:leftChars="71" w:left="566" w:right="141" w:hangingChars="212" w:hanging="424"/>
      </w:pPr>
      <w:r>
        <w:lastRenderedPageBreak/>
        <w:t>31.</w:t>
      </w:r>
      <w:r>
        <w:tab/>
      </w:r>
      <w:r>
        <w:t>文書</w:t>
      </w:r>
      <w:r>
        <w:t>ECE/TRADE/C/CEFACT/2022/17</w:t>
      </w:r>
      <w:r>
        <w:t>、</w:t>
      </w:r>
      <w:r>
        <w:rPr>
          <w:i/>
          <w:iCs/>
        </w:rPr>
        <w:t>政策概要</w:t>
      </w:r>
      <w:r>
        <w:rPr>
          <w:i/>
          <w:iCs/>
        </w:rPr>
        <w:t>-</w:t>
      </w:r>
      <w:r>
        <w:rPr>
          <w:i/>
          <w:iCs/>
        </w:rPr>
        <w:t>移行期の</w:t>
      </w:r>
      <w:r>
        <w:rPr>
          <w:i/>
          <w:iCs/>
        </w:rPr>
        <w:t>ECE</w:t>
      </w:r>
      <w:r>
        <w:rPr>
          <w:i/>
          <w:iCs/>
        </w:rPr>
        <w:t>経済におけるデジタル化と持続可能な貿易円滑化の推進</w:t>
      </w:r>
      <w:r>
        <w:t>は、情報を得るために本会議に提示された。この文書は、</w:t>
      </w:r>
      <w:r>
        <w:t>UNDA</w:t>
      </w:r>
      <w:r>
        <w:t>プロジェクト</w:t>
      </w:r>
      <w:r>
        <w:t xml:space="preserve"> </w:t>
      </w:r>
      <w:r>
        <w:t>「移行経済国のための証拠に基づく貿易円滑化措置」</w:t>
      </w:r>
      <w:r>
        <w:t xml:space="preserve"> </w:t>
      </w:r>
      <w:r>
        <w:t>の枠組みの中で、移行経済国に焦点を当て、地域における貿易円滑化措置の実施の進捗を評価した</w:t>
      </w:r>
      <w:r>
        <w:t>2021</w:t>
      </w:r>
      <w:r>
        <w:t>年の</w:t>
      </w:r>
      <w:r>
        <w:t xml:space="preserve"> </w:t>
      </w:r>
      <w:r>
        <w:t>「デジタル及び持続可能な貿易円滑化に関する</w:t>
      </w:r>
      <w:r>
        <w:t>UNECE</w:t>
      </w:r>
      <w:r>
        <w:t>調査」</w:t>
      </w:r>
      <w:r>
        <w:t xml:space="preserve"> </w:t>
      </w:r>
      <w:r>
        <w:t>を受けて作成された。それは、より深い分析を提供し、措置の実施において</w:t>
      </w:r>
      <w:r>
        <w:t>17</w:t>
      </w:r>
      <w:r>
        <w:t>の参加国が直面する課題を特定し、実施のペースを加速し、持続可能な開発のエンジンとしての貿易の可能性を活用できる政策提言を提供する。</w:t>
      </w:r>
    </w:p>
    <w:p w14:paraId="5D44D8B9" w14:textId="6AEB4F00" w:rsidR="00B65610" w:rsidRDefault="00B65610" w:rsidP="008271B6">
      <w:pPr>
        <w:pStyle w:val="SingleTxtG"/>
        <w:ind w:leftChars="71" w:left="566" w:right="141" w:hangingChars="212" w:hanging="424"/>
      </w:pPr>
      <w:r>
        <w:t>32.</w:t>
      </w:r>
      <w:r>
        <w:tab/>
      </w:r>
      <w:r>
        <w:t>事務局はまた、文書</w:t>
      </w:r>
      <w:r>
        <w:t>ECE/TRADE/471</w:t>
      </w:r>
      <w:r>
        <w:rPr>
          <w:i/>
          <w:iCs/>
        </w:rPr>
        <w:t>グルジアから中央アジア諸国への調和</w:t>
      </w:r>
      <w:r w:rsidR="00DF09A4">
        <w:rPr>
          <w:rFonts w:hint="eastAsia"/>
          <w:i/>
          <w:iCs/>
          <w:lang w:eastAsia="ja-JP"/>
        </w:rPr>
        <w:t>された</w:t>
      </w:r>
      <w:r>
        <w:rPr>
          <w:i/>
          <w:iCs/>
        </w:rPr>
        <w:t>システム</w:t>
      </w:r>
      <w:r w:rsidR="00DF09A4">
        <w:rPr>
          <w:rFonts w:hint="eastAsia"/>
          <w:i/>
          <w:iCs/>
          <w:lang w:eastAsia="ja-JP"/>
        </w:rPr>
        <w:t>下における</w:t>
      </w:r>
      <w:r>
        <w:rPr>
          <w:i/>
          <w:iCs/>
        </w:rPr>
        <w:t xml:space="preserve"> (HS) 30.03</w:t>
      </w:r>
      <w:r>
        <w:rPr>
          <w:i/>
          <w:iCs/>
        </w:rPr>
        <w:t>及び</w:t>
      </w:r>
      <w:r>
        <w:rPr>
          <w:i/>
          <w:iCs/>
        </w:rPr>
        <w:t>30.04 (</w:t>
      </w:r>
      <w:r>
        <w:rPr>
          <w:i/>
          <w:iCs/>
        </w:rPr>
        <w:t>医薬品</w:t>
      </w:r>
      <w:r>
        <w:rPr>
          <w:i/>
          <w:iCs/>
        </w:rPr>
        <w:t xml:space="preserve">) </w:t>
      </w:r>
      <w:r>
        <w:rPr>
          <w:i/>
          <w:iCs/>
        </w:rPr>
        <w:t>の医薬品輸出のためのビジネスプロセス分析</w:t>
      </w:r>
      <w:r>
        <w:t>を提示した。この</w:t>
      </w:r>
      <w:r>
        <w:t>BPA</w:t>
      </w:r>
      <w:r>
        <w:t>は、ジョージアの一般的な貿易と規制の状況の概要と、産業の構成と動態、輸出などの医薬品部門の主要な経済数値の分析を提供する。それは、国の輸送ネットワークの概要を示し、この分野の重要な事実を提示し、中央アジア諸国に医薬品を輸出するための貿易関連の規制および商業手続きにおける考えられるボトルネックを特定し、解決策を提案する。</w:t>
      </w:r>
    </w:p>
    <w:p w14:paraId="353B1A8F" w14:textId="3397E304" w:rsidR="00B65610" w:rsidRDefault="00EE2B1F" w:rsidP="008271B6">
      <w:pPr>
        <w:pStyle w:val="SingleTxtG"/>
        <w:ind w:leftChars="71" w:left="566" w:right="141" w:hangingChars="212" w:hanging="424"/>
      </w:pPr>
      <w:r>
        <w:t>33.</w:t>
      </w:r>
      <w:r>
        <w:tab/>
      </w:r>
      <w:r w:rsidRPr="00053DD6">
        <w:rPr>
          <w:i/>
          <w:iCs/>
          <w:highlight w:val="yellow"/>
        </w:rPr>
        <w:t>中小企業の電子化を支援するための研修資料</w:t>
      </w:r>
      <w:r>
        <w:tab/>
        <w:t xml:space="preserve">(ECE/TRADE/C/CEFACT/2022/INF.1) </w:t>
      </w:r>
      <w:r>
        <w:t>が情報のために本会議に提出された。これは</w:t>
      </w:r>
      <w:r>
        <w:t>UNDA</w:t>
      </w:r>
      <w:r>
        <w:t>プロジェクト「新型コロナ後の中小企業</w:t>
      </w:r>
      <w:r>
        <w:t xml:space="preserve"> (MSME) </w:t>
      </w:r>
      <w:r>
        <w:t>セクターの復活に向けたグローバル・イニシアティブ</w:t>
      </w:r>
      <w:r>
        <w:t xml:space="preserve"> </w:t>
      </w:r>
      <w:r>
        <w:t>」の枠組みの中で作成されたもので、基本的には電子データ交換に関する様々な機関の文献をまとめたものである。</w:t>
      </w:r>
      <w:r w:rsidR="00042939">
        <w:t>UN/CEFACT</w:t>
      </w:r>
      <w:r>
        <w:t>を通じたものを含め、中小企業の手続きのデジタル化を支援することを目的としている。</w:t>
      </w:r>
    </w:p>
    <w:p w14:paraId="3776A243" w14:textId="3AA568D6" w:rsidR="00B65610" w:rsidRPr="0052594F" w:rsidRDefault="00EE2B1F" w:rsidP="008271B6">
      <w:pPr>
        <w:pStyle w:val="SingleTxtG"/>
        <w:ind w:leftChars="71" w:left="566" w:right="141" w:hangingChars="212" w:hanging="424"/>
      </w:pPr>
      <w:r>
        <w:t>34.</w:t>
      </w:r>
      <w:r>
        <w:tab/>
        <w:t>UN/CEFACT</w:t>
      </w:r>
      <w:r>
        <w:t>は、</w:t>
      </w:r>
      <w:r>
        <w:t>UN/CEFACT</w:t>
      </w:r>
      <w:r>
        <w:t>の技術的作業の簡潔でハイレベルな説明を提供することを目的としたエグゼクティブ・ガイドの開発を続けている。以下の</w:t>
      </w:r>
      <w:r>
        <w:t>3</w:t>
      </w:r>
      <w:r>
        <w:t>つのガイドが本会議に提出され、注目された。</w:t>
      </w:r>
    </w:p>
    <w:p w14:paraId="5D3BB4A9" w14:textId="1F1E62C4" w:rsidR="00B65610" w:rsidRPr="00C357B3" w:rsidRDefault="00B65610" w:rsidP="008271B6">
      <w:pPr>
        <w:pStyle w:val="Bullet1G"/>
        <w:ind w:leftChars="284" w:left="992" w:right="141" w:hangingChars="212" w:hanging="424"/>
      </w:pPr>
      <w:r w:rsidRPr="00053DD6">
        <w:rPr>
          <w:i/>
          <w:iCs/>
          <w:highlight w:val="yellow"/>
        </w:rPr>
        <w:t>生鮮果実・野菜電子認証管理システム実行ガイド</w:t>
      </w:r>
      <w:r>
        <w:tab/>
        <w:t xml:space="preserve">(ECE/TRADE/C/CEFACT/2022/18) </w:t>
      </w:r>
      <w:r>
        <w:t>。このガイドでは、電子環境で新鮮な果物や野菜の輸出を管理する政府関係者や貿易業者を支援することを目的として、ワークフローの一般的でベストプラクティスの説明が提供されてい</w:t>
      </w:r>
      <w:r w:rsidR="00DF09A4">
        <w:rPr>
          <w:rFonts w:hint="eastAsia"/>
          <w:lang w:eastAsia="ja-JP"/>
        </w:rPr>
        <w:t>る</w:t>
      </w:r>
      <w:r>
        <w:t>。</w:t>
      </w:r>
    </w:p>
    <w:p w14:paraId="568EACCE" w14:textId="2BCC8466" w:rsidR="00B65610" w:rsidRPr="00E065BC" w:rsidRDefault="00B65610" w:rsidP="008271B6">
      <w:pPr>
        <w:pStyle w:val="Bullet1G"/>
        <w:ind w:leftChars="284" w:left="992" w:right="141" w:hangingChars="212" w:hanging="424"/>
        <w:rPr>
          <w:b/>
          <w:bCs/>
          <w:color w:val="FF0000"/>
        </w:rPr>
      </w:pPr>
      <w:r w:rsidRPr="00053DD6">
        <w:rPr>
          <w:i/>
          <w:iCs/>
          <w:highlight w:val="magenta"/>
        </w:rPr>
        <w:t>電子交渉に関するエグゼクティブ・ガイ</w:t>
      </w:r>
      <w:r>
        <w:rPr>
          <w:i/>
          <w:iCs/>
        </w:rPr>
        <w:t>ド</w:t>
      </w:r>
      <w:r>
        <w:t xml:space="preserve"> (ECE/TRADE/C/CEFACT/2022/19) </w:t>
      </w:r>
      <w:r>
        <w:t>。この電子交渉に関するエグゼクティブ・ガイドでは、電子交渉のビジネス要件仕様について説明してい</w:t>
      </w:r>
      <w:r w:rsidR="00DF09A4">
        <w:rPr>
          <w:rFonts w:hint="eastAsia"/>
          <w:lang w:eastAsia="ja-JP"/>
        </w:rPr>
        <w:t>る</w:t>
      </w:r>
      <w:r>
        <w:t>。これは、さまざまな事業領域の事業体間の取引条件を調整および交渉するプロセスに適用でき、その適用に役立つシナリオを提供</w:t>
      </w:r>
      <w:r w:rsidR="00DF09A4">
        <w:rPr>
          <w:rFonts w:hint="eastAsia"/>
          <w:lang w:eastAsia="ja-JP"/>
        </w:rPr>
        <w:t>する</w:t>
      </w:r>
      <w:r>
        <w:t>。</w:t>
      </w:r>
      <w:r w:rsidR="00E065BC" w:rsidRPr="00E065BC">
        <w:rPr>
          <w:b/>
          <w:bCs/>
          <w:color w:val="FF0000"/>
          <w:lang w:eastAsia="ja-JP"/>
        </w:rPr>
        <w:sym w:font="Wingdings" w:char="F0E8"/>
      </w:r>
      <w:r w:rsidR="00E065BC" w:rsidRPr="00E065BC">
        <w:rPr>
          <w:rFonts w:hint="eastAsia"/>
          <w:b/>
          <w:bCs/>
          <w:color w:val="FF0000"/>
          <w:lang w:eastAsia="ja-JP"/>
        </w:rPr>
        <w:t>添付②</w:t>
      </w:r>
    </w:p>
    <w:p w14:paraId="3A884CE1" w14:textId="4E061377" w:rsidR="00B65610" w:rsidRDefault="00B65610" w:rsidP="008271B6">
      <w:pPr>
        <w:pStyle w:val="Bullet1G"/>
        <w:ind w:leftChars="284" w:left="992" w:right="141" w:hangingChars="212" w:hanging="424"/>
      </w:pPr>
      <w:bookmarkStart w:id="0" w:name="_Hlk116316097"/>
      <w:r w:rsidRPr="00053DD6">
        <w:rPr>
          <w:i/>
          <w:iCs/>
          <w:highlight w:val="magenta"/>
        </w:rPr>
        <w:t>持続可能な観光体験プログラムのエグゼクティブガイドテクニカルアーティファクト</w:t>
      </w:r>
      <w:r>
        <w:t xml:space="preserve">(ECE/TRADE/C/CEFACT/2022/20) </w:t>
      </w:r>
      <w:r>
        <w:t>。このガイドでは、ローカルとグローバルの両方の体験プログラムを含むエクスペリエンスプログラムテクニカルアーティファクトプロジェクトを紹介し、プロジェクトのアウトプットと今後の方向性を示す。</w:t>
      </w:r>
    </w:p>
    <w:bookmarkEnd w:id="0"/>
    <w:p w14:paraId="19FA18C0" w14:textId="30BF3F6E" w:rsidR="00B65610" w:rsidRDefault="00064B0A" w:rsidP="008271B6">
      <w:pPr>
        <w:pStyle w:val="SingleTxtG"/>
        <w:ind w:leftChars="71" w:left="566" w:right="141" w:hangingChars="212" w:hanging="424"/>
      </w:pPr>
      <w:r>
        <w:t>35.</w:t>
      </w:r>
      <w:r>
        <w:tab/>
      </w:r>
      <w:r>
        <w:t>事務局は、英語のみの文書として</w:t>
      </w:r>
      <w:r>
        <w:t>UN/CEFACT</w:t>
      </w:r>
      <w:r>
        <w:t>第</w:t>
      </w:r>
      <w:r>
        <w:t>27</w:t>
      </w:r>
      <w:r>
        <w:t>回本会議に提出された以下の文書のロシア語訳を提出した。</w:t>
      </w:r>
    </w:p>
    <w:p w14:paraId="2A943C64" w14:textId="33F11EF3" w:rsidR="00B65610" w:rsidRDefault="00B65610" w:rsidP="008271B6">
      <w:pPr>
        <w:pStyle w:val="Bullet1G"/>
        <w:ind w:leftChars="284" w:left="992" w:right="141" w:hangingChars="212" w:hanging="424"/>
        <w:jc w:val="left"/>
      </w:pPr>
      <w:r>
        <w:rPr>
          <w:i/>
          <w:iCs/>
        </w:rPr>
        <w:t>シングルウィンドウの実装に関するトレーニング資料</w:t>
      </w:r>
      <w:r>
        <w:t xml:space="preserve"> (ECE/TRADE/C/CEFACT/2021/INF.5);</w:t>
      </w:r>
    </w:p>
    <w:p w14:paraId="13DD9C7A" w14:textId="2FECCBF1" w:rsidR="00B65610" w:rsidRDefault="00B65610" w:rsidP="008271B6">
      <w:pPr>
        <w:pStyle w:val="Bullet1G"/>
        <w:ind w:leftChars="284" w:left="992" w:right="141" w:hangingChars="212" w:hanging="424"/>
        <w:jc w:val="left"/>
      </w:pPr>
      <w:r>
        <w:rPr>
          <w:i/>
          <w:iCs/>
        </w:rPr>
        <w:t>国際規格の使用に関する研修資料</w:t>
      </w:r>
      <w:r>
        <w:t xml:space="preserve"> (ECE/TRADE/C/CEFACT/2021/INF.6);</w:t>
      </w:r>
      <w:r>
        <w:t>および</w:t>
      </w:r>
    </w:p>
    <w:p w14:paraId="37C8A71F" w14:textId="77777777" w:rsidR="00B65610" w:rsidRDefault="00B65610" w:rsidP="008271B6">
      <w:pPr>
        <w:pStyle w:val="Bullet1G"/>
        <w:ind w:leftChars="284" w:left="992" w:right="141" w:hangingChars="212" w:hanging="424"/>
        <w:jc w:val="left"/>
      </w:pPr>
      <w:r>
        <w:rPr>
          <w:i/>
          <w:iCs/>
        </w:rPr>
        <w:t>国内貿易円滑化機関に関する研修資料</w:t>
      </w:r>
      <w:r>
        <w:t xml:space="preserve"> (ECE/TRADE/C/CEFACT/2021/INF.7)</w:t>
      </w:r>
    </w:p>
    <w:p w14:paraId="27C02FF2" w14:textId="45754BFD" w:rsidR="00B65610" w:rsidRDefault="00064B0A" w:rsidP="008271B6">
      <w:pPr>
        <w:pStyle w:val="Bullet1G"/>
        <w:numPr>
          <w:ilvl w:val="0"/>
          <w:numId w:val="0"/>
        </w:numPr>
        <w:ind w:leftChars="71" w:left="566" w:right="141" w:hangingChars="212" w:hanging="424"/>
      </w:pPr>
      <w:r>
        <w:t>36.</w:t>
      </w:r>
      <w:r>
        <w:tab/>
      </w:r>
      <w:r>
        <w:t>事務局は、</w:t>
      </w:r>
      <w:r>
        <w:rPr>
          <w:i/>
          <w:iCs/>
        </w:rPr>
        <w:t>WTO</w:t>
      </w:r>
      <w:r>
        <w:rPr>
          <w:i/>
          <w:iCs/>
        </w:rPr>
        <w:t>貿易円滑化協定第</w:t>
      </w:r>
      <w:r>
        <w:rPr>
          <w:i/>
          <w:iCs/>
        </w:rPr>
        <w:t>1</w:t>
      </w:r>
      <w:r>
        <w:rPr>
          <w:i/>
          <w:iCs/>
        </w:rPr>
        <w:t>条</w:t>
      </w:r>
      <w:r>
        <w:rPr>
          <w:i/>
          <w:iCs/>
        </w:rPr>
        <w:t>3</w:t>
      </w:r>
      <w:r>
        <w:rPr>
          <w:i/>
          <w:iCs/>
        </w:rPr>
        <w:t>項の実施のための指針</w:t>
      </w:r>
      <w:r>
        <w:rPr>
          <w:i/>
          <w:iCs/>
        </w:rPr>
        <w:t>:</w:t>
      </w:r>
      <w:r>
        <w:rPr>
          <w:i/>
          <w:iCs/>
        </w:rPr>
        <w:t>貿易円滑化に関する質問事項</w:t>
      </w:r>
      <w:r>
        <w:t xml:space="preserve"> (ECE/TRADE/C/CEFACT/2022/INF.3) </w:t>
      </w:r>
      <w:r>
        <w:t>という文書を提示した。この文書は、国連中央アジア経済特別計画</w:t>
      </w:r>
      <w:r>
        <w:t xml:space="preserve"> (SPECA) </w:t>
      </w:r>
      <w:r>
        <w:t>参加国、および既存の貿易円滑化に関する質問事項の設置または機能の改善を模索しているすべての国連および</w:t>
      </w:r>
      <w:r>
        <w:t>/</w:t>
      </w:r>
      <w:r>
        <w:t>または</w:t>
      </w:r>
      <w:r>
        <w:t>WTO</w:t>
      </w:r>
      <w:r>
        <w:t>加盟国を支援することを目的としている。</w:t>
      </w:r>
    </w:p>
    <w:p w14:paraId="12FC2F08" w14:textId="3FDA7D6A" w:rsidR="00B65610" w:rsidRPr="0090558F" w:rsidRDefault="00064B0A" w:rsidP="008271B6">
      <w:pPr>
        <w:pStyle w:val="Bullet1G"/>
        <w:numPr>
          <w:ilvl w:val="0"/>
          <w:numId w:val="0"/>
        </w:numPr>
        <w:ind w:leftChars="71" w:left="566" w:right="141" w:hangingChars="212" w:hanging="424"/>
      </w:pPr>
      <w:r>
        <w:t>37.</w:t>
      </w:r>
      <w:r>
        <w:tab/>
      </w:r>
      <w:r>
        <w:t>議長は、これらをまとめた事務局とプロジェクトチームに感謝した。</w:t>
      </w:r>
    </w:p>
    <w:p w14:paraId="6FA510C2" w14:textId="77777777" w:rsidR="00B65610" w:rsidRPr="0090558F" w:rsidRDefault="00B65610" w:rsidP="008271B6">
      <w:pPr>
        <w:pStyle w:val="Bullet1G"/>
        <w:numPr>
          <w:ilvl w:val="0"/>
          <w:numId w:val="0"/>
        </w:numPr>
        <w:ind w:leftChars="71" w:left="568" w:right="141" w:hangingChars="212" w:hanging="426"/>
      </w:pPr>
      <w:r>
        <w:rPr>
          <w:b/>
          <w:bCs/>
        </w:rPr>
        <w:t>本会議決定</w:t>
      </w:r>
      <w:r>
        <w:rPr>
          <w:b/>
          <w:bCs/>
        </w:rPr>
        <w:t>22-13:</w:t>
      </w:r>
      <w:r>
        <w:t>本会議は、能力構築と技術協力に関する文書に留意した。</w:t>
      </w:r>
    </w:p>
    <w:p w14:paraId="31AB92CA" w14:textId="631A265A" w:rsidR="00A446B4" w:rsidRPr="00E70251" w:rsidRDefault="00064B0A" w:rsidP="005B637F">
      <w:pPr>
        <w:pStyle w:val="HChG"/>
        <w:ind w:left="567" w:right="141" w:hanging="709"/>
        <w:rPr>
          <w:sz w:val="22"/>
          <w:szCs w:val="22"/>
        </w:rPr>
      </w:pPr>
      <w:r>
        <w:lastRenderedPageBreak/>
        <w:t>XI</w:t>
      </w:r>
      <w:r w:rsidR="00DF09A4">
        <w:t>. United Nations Regional Commissions joint approach to trade facilitation (</w:t>
      </w:r>
      <w:r w:rsidR="00E70251">
        <w:t>agenda item 5f)</w:t>
      </w:r>
      <w:r w:rsidR="00E70251" w:rsidRPr="00E70251">
        <w:rPr>
          <w:sz w:val="22"/>
          <w:szCs w:val="22"/>
        </w:rPr>
        <w:t xml:space="preserve"> </w:t>
      </w:r>
      <w:r w:rsidR="00E70251">
        <w:rPr>
          <w:sz w:val="22"/>
          <w:szCs w:val="22"/>
        </w:rPr>
        <w:t xml:space="preserve">   </w:t>
      </w:r>
      <w:r w:rsidRPr="00F82A90">
        <w:rPr>
          <w:sz w:val="22"/>
          <w:szCs w:val="22"/>
          <w:highlight w:val="yellow"/>
        </w:rPr>
        <w:t>貿易円滑化のための国連地域委員会の共同アプローチ</w:t>
      </w:r>
    </w:p>
    <w:p w14:paraId="492239D6" w14:textId="4A2CAEDD" w:rsidR="001C3B72" w:rsidRDefault="00064B0A" w:rsidP="00E70251">
      <w:pPr>
        <w:pStyle w:val="Bullet1G"/>
        <w:numPr>
          <w:ilvl w:val="0"/>
          <w:numId w:val="0"/>
        </w:numPr>
        <w:ind w:leftChars="71" w:left="566" w:right="141" w:hangingChars="212" w:hanging="424"/>
        <w:rPr>
          <w:lang w:val="en-US"/>
        </w:rPr>
      </w:pPr>
      <w:r>
        <w:t>38.</w:t>
      </w:r>
      <w:r>
        <w:tab/>
      </w:r>
      <w:r>
        <w:rPr>
          <w:i/>
          <w:iCs/>
        </w:rPr>
        <w:t>デジタル及び持続可能な貿易の円滑化に関する</w:t>
      </w:r>
      <w:r>
        <w:rPr>
          <w:i/>
          <w:iCs/>
        </w:rPr>
        <w:t>UNECE</w:t>
      </w:r>
      <w:r>
        <w:rPr>
          <w:i/>
          <w:iCs/>
        </w:rPr>
        <w:t>地域報告書</w:t>
      </w:r>
      <w:r>
        <w:rPr>
          <w:i/>
          <w:iCs/>
        </w:rPr>
        <w:t>2021</w:t>
      </w:r>
      <w:r>
        <w:t xml:space="preserve"> </w:t>
      </w:r>
      <w:r>
        <w:rPr>
          <w:iCs/>
        </w:rPr>
        <w:t>(ECE/TRADE/467)</w:t>
      </w:r>
      <w:r>
        <w:t xml:space="preserve"> </w:t>
      </w:r>
      <w:r>
        <w:t>が情報のために本会議に提出された。この報告書は、デジタルと持続可能な貿易の円滑化に関する国連グローバル調査の結果に基づいて作成されており、</w:t>
      </w:r>
      <w:r>
        <w:t>2010</w:t>
      </w:r>
      <w:r>
        <w:t>年</w:t>
      </w:r>
      <w:r>
        <w:t>1</w:t>
      </w:r>
      <w:r>
        <w:t>月にベイルートで五地域委員会の事務局長によって合意された合同国連地域委員会のアプローチの下での共同イニシアティブを表している。</w:t>
      </w:r>
      <w:r>
        <w:t>ECE 44</w:t>
      </w:r>
      <w:r>
        <w:t>カ国が</w:t>
      </w:r>
      <w:r>
        <w:t>2021</w:t>
      </w:r>
      <w:r>
        <w:t>年版の調査に貢献した。</w:t>
      </w:r>
    </w:p>
    <w:p w14:paraId="4111A4C7" w14:textId="46A1C702" w:rsidR="001C3B72" w:rsidRDefault="00064B0A" w:rsidP="00E70251">
      <w:pPr>
        <w:pStyle w:val="Bullet1G"/>
        <w:numPr>
          <w:ilvl w:val="0"/>
          <w:numId w:val="0"/>
        </w:numPr>
        <w:ind w:leftChars="71" w:left="566" w:right="141" w:hangingChars="212" w:hanging="424"/>
        <w:rPr>
          <w:lang w:val="en-US"/>
        </w:rPr>
      </w:pPr>
      <w:r>
        <w:rPr>
          <w:lang w:val="en-US"/>
        </w:rPr>
        <w:t>39.</w:t>
      </w:r>
      <w:r w:rsidR="005B637F">
        <w:rPr>
          <w:rFonts w:hint="eastAsia"/>
          <w:lang w:eastAsia="ja-JP"/>
        </w:rPr>
        <w:t xml:space="preserve">　</w:t>
      </w:r>
      <w:r>
        <w:rPr>
          <w:lang w:val="en-US"/>
        </w:rPr>
        <w:t>国連デジタル・持続可能な貿易に関する世界調査の目的は、貿易円滑化措置の実施の進捗を評価し、そのような措置の実施に影響を及ぼす政策上、法的、手続上、規制上及び技術上のギャップを特定するのに役立つことである。特に、開発途上国のグローバル・バリュー・チェーンへの参加、工業製品の貿易、地域統合に関連している。</w:t>
      </w:r>
    </w:p>
    <w:p w14:paraId="1327588B" w14:textId="0253FD83" w:rsidR="00663B25" w:rsidRDefault="00663B25" w:rsidP="00E70251">
      <w:pPr>
        <w:pStyle w:val="Bullet1G"/>
        <w:numPr>
          <w:ilvl w:val="0"/>
          <w:numId w:val="0"/>
        </w:numPr>
        <w:ind w:leftChars="71" w:left="568" w:right="141" w:hangingChars="212" w:hanging="426"/>
        <w:rPr>
          <w:lang w:val="en-US"/>
        </w:rPr>
      </w:pPr>
      <w:r>
        <w:rPr>
          <w:b/>
          <w:bCs/>
        </w:rPr>
        <w:t>本会議決定</w:t>
      </w:r>
      <w:r>
        <w:rPr>
          <w:b/>
          <w:bCs/>
        </w:rPr>
        <w:t>22-14</w:t>
      </w:r>
      <w:r>
        <w:rPr>
          <w:b/>
          <w:bCs/>
        </w:rPr>
        <w:t>日</w:t>
      </w:r>
      <w:r>
        <w:rPr>
          <w:b/>
          <w:bCs/>
        </w:rPr>
        <w:t>:</w:t>
      </w:r>
      <w:r>
        <w:t>本会議は、</w:t>
      </w:r>
      <w:r>
        <w:rPr>
          <w:i/>
          <w:iCs/>
        </w:rPr>
        <w:t>デジタル及び持続可能な貿易円滑化に関する</w:t>
      </w:r>
      <w:r>
        <w:rPr>
          <w:i/>
          <w:iCs/>
        </w:rPr>
        <w:t>UNECE</w:t>
      </w:r>
      <w:r>
        <w:rPr>
          <w:i/>
          <w:iCs/>
        </w:rPr>
        <w:t>地域報告書</w:t>
      </w:r>
      <w:r>
        <w:rPr>
          <w:i/>
          <w:iCs/>
        </w:rPr>
        <w:t>2021</w:t>
      </w:r>
      <w:r>
        <w:t xml:space="preserve"> </w:t>
      </w:r>
      <w:r>
        <w:rPr>
          <w:iCs/>
        </w:rPr>
        <w:t>(ECE/TRADE/467)</w:t>
      </w:r>
      <w:r>
        <w:t xml:space="preserve"> </w:t>
      </w:r>
      <w:r>
        <w:t>に留意し、このトピックに関する作業の継続を要請した。</w:t>
      </w:r>
    </w:p>
    <w:p w14:paraId="5EBD2946" w14:textId="6DF98708" w:rsidR="00E60F4E" w:rsidRDefault="00E60F4E" w:rsidP="00E70251">
      <w:pPr>
        <w:pStyle w:val="HChG"/>
        <w:ind w:left="709" w:right="141" w:hanging="709"/>
      </w:pPr>
      <w:r>
        <w:t>XII</w:t>
      </w:r>
      <w:r w:rsidR="00E70251">
        <w:rPr>
          <w:rFonts w:hint="eastAsia"/>
          <w:lang w:eastAsia="ja-JP"/>
        </w:rPr>
        <w:t>.</w:t>
      </w:r>
      <w:r w:rsidR="00E70251">
        <w:rPr>
          <w:lang w:eastAsia="ja-JP"/>
        </w:rPr>
        <w:t xml:space="preserve"> UN/CEFACT structure, mandate, terms of reference and procedures (agenda item 6)</w:t>
      </w:r>
      <w:r>
        <w:tab/>
      </w:r>
      <w:r w:rsidR="00042939" w:rsidRPr="00F82A90">
        <w:rPr>
          <w:sz w:val="22"/>
          <w:szCs w:val="22"/>
          <w:highlight w:val="yellow"/>
        </w:rPr>
        <w:t>UN/CEFACT</w:t>
      </w:r>
      <w:r w:rsidRPr="00F82A90">
        <w:rPr>
          <w:sz w:val="22"/>
          <w:szCs w:val="22"/>
          <w:highlight w:val="yellow"/>
        </w:rPr>
        <w:t>の構成、</w:t>
      </w:r>
      <w:r w:rsidR="00E70251" w:rsidRPr="00F82A90">
        <w:rPr>
          <w:rFonts w:hint="eastAsia"/>
          <w:sz w:val="22"/>
          <w:szCs w:val="22"/>
          <w:highlight w:val="yellow"/>
          <w:lang w:eastAsia="ja-JP"/>
        </w:rPr>
        <w:t>権限</w:t>
      </w:r>
      <w:r w:rsidRPr="00F82A90">
        <w:rPr>
          <w:sz w:val="22"/>
          <w:szCs w:val="22"/>
          <w:highlight w:val="yellow"/>
        </w:rPr>
        <w:t>、付託事項及び手続</w:t>
      </w:r>
    </w:p>
    <w:p w14:paraId="38E2A14F" w14:textId="5AD0746C" w:rsidR="00F8476E" w:rsidRDefault="007D1C72" w:rsidP="00DF16E9">
      <w:pPr>
        <w:pStyle w:val="SingleTxtG"/>
        <w:ind w:leftChars="71" w:left="566" w:right="141" w:hangingChars="212" w:hanging="424"/>
      </w:pPr>
      <w:r>
        <w:t>40.</w:t>
      </w:r>
      <w:r>
        <w:tab/>
      </w:r>
      <w:r>
        <w:t>事務局は、</w:t>
      </w:r>
      <w:r w:rsidRPr="00F82A90">
        <w:rPr>
          <w:highlight w:val="yellow"/>
        </w:rPr>
        <w:t>2023</w:t>
      </w:r>
      <w:r w:rsidRPr="00F82A90">
        <w:rPr>
          <w:highlight w:val="yellow"/>
        </w:rPr>
        <w:t>年から</w:t>
      </w:r>
      <w:r w:rsidRPr="00F82A90">
        <w:rPr>
          <w:highlight w:val="yellow"/>
        </w:rPr>
        <w:t>2024</w:t>
      </w:r>
      <w:r w:rsidRPr="00F82A90">
        <w:rPr>
          <w:highlight w:val="yellow"/>
        </w:rPr>
        <w:t>年の期間</w:t>
      </w:r>
      <w:r w:rsidRPr="00F82A90">
        <w:rPr>
          <w:highlight w:val="yellow"/>
        </w:rPr>
        <w:t xml:space="preserve"> (ECE/TRADE/C/CEFACT/2022/21) </w:t>
      </w:r>
      <w:r w:rsidRPr="00F82A90">
        <w:rPr>
          <w:highlight w:val="yellow"/>
        </w:rPr>
        <w:t>のための新しい作業計画を作成した</w:t>
      </w:r>
      <w:r>
        <w:t>。議長は、この文書はすべての</w:t>
      </w:r>
      <w:r w:rsidR="00DF16E9">
        <w:rPr>
          <w:rFonts w:hint="eastAsia"/>
          <w:lang w:eastAsia="ja-JP"/>
        </w:rPr>
        <w:t>UN</w:t>
      </w:r>
      <w:r>
        <w:t>/CEFACT</w:t>
      </w:r>
      <w:r>
        <w:t>専門家と協議して作成されたものであり、以前のものと同様に、</w:t>
      </w:r>
      <w:r w:rsidR="00DF16E9">
        <w:rPr>
          <w:rFonts w:hint="eastAsia"/>
          <w:lang w:eastAsia="ja-JP"/>
        </w:rPr>
        <w:t>UN</w:t>
      </w:r>
      <w:r>
        <w:t>/CEFACT</w:t>
      </w:r>
      <w:r>
        <w:t>戦略文書</w:t>
      </w:r>
      <w:r>
        <w:t xml:space="preserve"> (ECE/TRADE/C/CEFACT/2016/20/Rev.1) </w:t>
      </w:r>
      <w:r>
        <w:t>に基づいていることを強調した。</w:t>
      </w:r>
      <w:r>
        <w:t>UN/CEFACT</w:t>
      </w:r>
      <w:r>
        <w:t>は、新技術への取り組みを含む中核的な活動を継続する予定であり、持続可能性、循環性、デジタル化に関する主要なテーマを含むように強化されている。</w:t>
      </w:r>
    </w:p>
    <w:p w14:paraId="33DF1D25" w14:textId="4AA251F7" w:rsidR="00F8476E" w:rsidRDefault="007D1C72" w:rsidP="00DF16E9">
      <w:pPr>
        <w:pStyle w:val="SingleTxtG"/>
        <w:ind w:leftChars="71" w:left="566" w:right="141" w:hangingChars="212" w:hanging="424"/>
      </w:pPr>
      <w:r>
        <w:t>41.</w:t>
      </w:r>
      <w:r>
        <w:tab/>
      </w:r>
      <w:r>
        <w:t>ロシア連邦の代表団は、</w:t>
      </w:r>
      <w:r w:rsidR="005B637F">
        <w:rPr>
          <w:rFonts w:hint="eastAsia"/>
          <w:lang w:eastAsia="ja-JP"/>
        </w:rPr>
        <w:t>意欲</w:t>
      </w:r>
      <w:r>
        <w:t>的で複雑な作業計画を歓迎し、その成功裡の実施を奨励した。それは、ロシア連邦に関連する作業の次の側面に留意した</w:t>
      </w:r>
      <w:r>
        <w:t>:</w:t>
      </w:r>
      <w:r w:rsidR="005B637F">
        <w:rPr>
          <w:rFonts w:hint="eastAsia"/>
          <w:lang w:eastAsia="ja-JP"/>
        </w:rPr>
        <w:t xml:space="preserve">　</w:t>
      </w:r>
      <w:r>
        <w:t>データの相互運用性、能力構築、勧告と基準の改訂と更新。また、年</w:t>
      </w:r>
      <w:r>
        <w:t>2</w:t>
      </w:r>
      <w:r>
        <w:t>回の</w:t>
      </w:r>
      <w:r>
        <w:t>UN/CEFACT</w:t>
      </w:r>
      <w:r>
        <w:t>フォーラムの開催を促し、</w:t>
      </w:r>
      <w:r>
        <w:t>UN/CEFACT</w:t>
      </w:r>
      <w:r>
        <w:t>ツールボックスに対する認識を高めるためのコミュニケーション活動を継続するよう求めた。それは、</w:t>
      </w:r>
      <w:r w:rsidR="005B637F">
        <w:rPr>
          <w:rFonts w:hint="eastAsia"/>
          <w:lang w:eastAsia="ja-JP"/>
        </w:rPr>
        <w:t>シングルウィンドウ</w:t>
      </w:r>
      <w:r>
        <w:t>評価方法論に関する</w:t>
      </w:r>
      <w:r w:rsidR="005B637F">
        <w:rPr>
          <w:rFonts w:hint="eastAsia"/>
          <w:lang w:eastAsia="ja-JP"/>
        </w:rPr>
        <w:t>UN</w:t>
      </w:r>
      <w:r>
        <w:t>/CEFACT</w:t>
      </w:r>
      <w:r>
        <w:t>プロジェクトと、ユーラシア経済連合と欧州連合の間の特定の物品の国境を越えた輸送におけるペーパーレス・データや文書交換などのパイロット・プロジェクトを歓迎した。</w:t>
      </w:r>
      <w:r w:rsidR="005B637F">
        <w:rPr>
          <w:rFonts w:hint="eastAsia"/>
          <w:lang w:eastAsia="ja-JP"/>
        </w:rPr>
        <w:t>UN</w:t>
      </w:r>
      <w:r>
        <w:t>/CEFACT</w:t>
      </w:r>
      <w:r>
        <w:t>の今後の作業の優先事項に関して、ロシア連邦の代表団は、以下の方向性を強調した</w:t>
      </w:r>
      <w:r>
        <w:t>:</w:t>
      </w:r>
      <w:r w:rsidR="00DF16E9">
        <w:rPr>
          <w:rFonts w:hint="eastAsia"/>
          <w:lang w:eastAsia="ja-JP"/>
        </w:rPr>
        <w:t xml:space="preserve">　</w:t>
      </w:r>
      <w:r>
        <w:t>標準開発に</w:t>
      </w:r>
      <w:r>
        <w:t>B 2 G</w:t>
      </w:r>
      <w:r>
        <w:t>を含めること、語彙を整合させ、</w:t>
      </w:r>
      <w:r w:rsidR="005B637F">
        <w:rPr>
          <w:rFonts w:hint="eastAsia"/>
          <w:lang w:eastAsia="ja-JP"/>
        </w:rPr>
        <w:t>UN</w:t>
      </w:r>
      <w:r>
        <w:t>/CEFACT</w:t>
      </w:r>
      <w:r>
        <w:t>のマルチモーダル輸送・貿易基準を実施することにより、輸送と貿易の間の意味的な相互運用性を促進すること、国際貿易における暗号通貨の使用を探求すること、</w:t>
      </w:r>
      <w:r w:rsidR="005B637F">
        <w:rPr>
          <w:rFonts w:hint="eastAsia"/>
          <w:lang w:eastAsia="ja-JP"/>
        </w:rPr>
        <w:t>UN</w:t>
      </w:r>
      <w:r>
        <w:t>/CEFACT</w:t>
      </w:r>
      <w:r>
        <w:t>基準を用いたユーラシア経済連合を横断する輸送の標準化と輸送回廊のデジタル化。</w:t>
      </w:r>
    </w:p>
    <w:p w14:paraId="116DF4F4" w14:textId="5ECA3AB8" w:rsidR="00F8476E" w:rsidRDefault="007D1C72" w:rsidP="00DF16E9">
      <w:pPr>
        <w:pStyle w:val="SingleTxtG"/>
        <w:ind w:leftChars="71" w:left="566" w:right="141" w:hangingChars="212" w:hanging="424"/>
      </w:pPr>
      <w:r>
        <w:t>42.</w:t>
      </w:r>
      <w:r>
        <w:tab/>
      </w:r>
      <w:r>
        <w:t>アメリカ合衆国代表団は、</w:t>
      </w:r>
      <w:r>
        <w:t>UN/CEFACT</w:t>
      </w:r>
      <w:r>
        <w:t>議長のリーダーシップを歓迎し、専門家と事務局の仕事に感謝した。それは、事務局の限られた資源の問題を提起し、プロジェクトや成果物の増加に比例して増加しないことを指摘した。事務局に対し、プロジェクトへの関与のレベルを評価し、</w:t>
      </w:r>
      <w:r w:rsidR="005B637F">
        <w:rPr>
          <w:rFonts w:hint="eastAsia"/>
          <w:lang w:eastAsia="ja-JP"/>
        </w:rPr>
        <w:t>UN</w:t>
      </w:r>
      <w:r>
        <w:t>/CEFACT</w:t>
      </w:r>
      <w:r>
        <w:t>作業計画に沿ったプロジェクトを特定し、第</w:t>
      </w:r>
      <w:r>
        <w:t>70</w:t>
      </w:r>
      <w:r>
        <w:t>回委員会セッションとの関連性を特定するために加盟国と協議を行うよう要請した。それは、作業の重複を避けるために、輸送の傾向と経済に関する作業部会</w:t>
      </w:r>
      <w:r>
        <w:t xml:space="preserve"> (WP .5) </w:t>
      </w:r>
      <w:r>
        <w:t>および危険物輸送に関する作業部会</w:t>
      </w:r>
      <w:r>
        <w:t xml:space="preserve"> (WP .15) </w:t>
      </w:r>
      <w:r>
        <w:t>との協力の重要性を強調した。</w:t>
      </w:r>
    </w:p>
    <w:p w14:paraId="425AE651" w14:textId="715FB9C9" w:rsidR="00F8476E" w:rsidRDefault="007D1C72" w:rsidP="00DF16E9">
      <w:pPr>
        <w:pStyle w:val="SingleTxtG"/>
        <w:ind w:leftChars="71" w:left="566" w:right="141" w:hangingChars="212" w:hanging="424"/>
      </w:pPr>
      <w:r>
        <w:t>43.</w:t>
      </w:r>
      <w:r>
        <w:tab/>
      </w:r>
      <w:r>
        <w:t>議長は、代表団の</w:t>
      </w:r>
      <w:r w:rsidR="005B637F">
        <w:rPr>
          <w:rFonts w:hint="eastAsia"/>
          <w:lang w:eastAsia="ja-JP"/>
        </w:rPr>
        <w:t>発言</w:t>
      </w:r>
      <w:r>
        <w:t>に感謝し、</w:t>
      </w:r>
      <w:r>
        <w:t>ECE</w:t>
      </w:r>
      <w:r>
        <w:t>の持続可能な運輸部門および国際海事機関との</w:t>
      </w:r>
      <w:r w:rsidR="005B637F">
        <w:rPr>
          <w:rFonts w:hint="eastAsia"/>
          <w:lang w:eastAsia="ja-JP"/>
        </w:rPr>
        <w:t>UN</w:t>
      </w:r>
      <w:r>
        <w:t>/CEFACT</w:t>
      </w:r>
      <w:r>
        <w:t>の協力を強調した。</w:t>
      </w:r>
      <w:r w:rsidR="005B637F">
        <w:rPr>
          <w:rFonts w:hint="eastAsia"/>
          <w:lang w:eastAsia="ja-JP"/>
        </w:rPr>
        <w:t>議長</w:t>
      </w:r>
      <w:r>
        <w:t>はさらに、オープン開発プロセスには、活動していないプロジェクトを終了させ、作業計画との継続的な関連性を確保するための手順があることを強調した。</w:t>
      </w:r>
      <w:r w:rsidR="005B637F">
        <w:rPr>
          <w:rFonts w:hint="eastAsia"/>
          <w:lang w:eastAsia="ja-JP"/>
        </w:rPr>
        <w:t>議長</w:t>
      </w:r>
      <w:r>
        <w:t>は、ボランティアベースでプロジェクトに貢献している</w:t>
      </w:r>
      <w:r>
        <w:t>1600</w:t>
      </w:r>
      <w:r>
        <w:t>人以上の</w:t>
      </w:r>
      <w:r w:rsidR="005B637F">
        <w:rPr>
          <w:rFonts w:hint="eastAsia"/>
          <w:lang w:eastAsia="ja-JP"/>
        </w:rPr>
        <w:t>UN</w:t>
      </w:r>
      <w:r>
        <w:t>/CEFACT</w:t>
      </w:r>
      <w:r>
        <w:t>の専門家に感謝の意を表した。</w:t>
      </w:r>
    </w:p>
    <w:p w14:paraId="34429BAD" w14:textId="4626694C" w:rsidR="00F8476E" w:rsidRPr="0090558F" w:rsidRDefault="007D1C72" w:rsidP="00DF16E9">
      <w:pPr>
        <w:pStyle w:val="SingleTxtG"/>
        <w:ind w:leftChars="71" w:left="566" w:right="141" w:hangingChars="212" w:hanging="424"/>
      </w:pPr>
      <w:r>
        <w:t>44.</w:t>
      </w:r>
      <w:r>
        <w:tab/>
      </w:r>
      <w:r>
        <w:t>事務局は、影響力と関連性、および幅広い利害関係者と専門家の参加を示す活動を特定することを目的として開始された</w:t>
      </w:r>
      <w:r>
        <w:t>UN/CEFACT</w:t>
      </w:r>
      <w:r>
        <w:t>の作業分野とプロジェクトの概要について報告した。この概要は、以下の基準に基づいている</w:t>
      </w:r>
      <w:r>
        <w:t>:</w:t>
      </w:r>
      <w:r w:rsidR="005B637F">
        <w:rPr>
          <w:rFonts w:hint="eastAsia"/>
          <w:lang w:eastAsia="ja-JP"/>
        </w:rPr>
        <w:t xml:space="preserve">　</w:t>
      </w:r>
      <w:r>
        <w:t>政策と規制の枠組みにおける</w:t>
      </w:r>
      <w:r>
        <w:t>UN/CEFACT</w:t>
      </w:r>
      <w:r w:rsidR="00DF16E9">
        <w:rPr>
          <w:rFonts w:hint="eastAsia"/>
          <w:lang w:eastAsia="ja-JP"/>
        </w:rPr>
        <w:t>標準</w:t>
      </w:r>
      <w:r>
        <w:t>とツールの更新、専門家の数、およびそれぞれのメディア報道。</w:t>
      </w:r>
    </w:p>
    <w:p w14:paraId="7A5B050D" w14:textId="687779B7" w:rsidR="00F8476E" w:rsidRDefault="00F8476E" w:rsidP="00DF16E9">
      <w:pPr>
        <w:pStyle w:val="SingleTxtG"/>
        <w:ind w:leftChars="71" w:left="568" w:right="141" w:hangingChars="212" w:hanging="426"/>
      </w:pPr>
      <w:r>
        <w:rPr>
          <w:b/>
          <w:bCs/>
        </w:rPr>
        <w:lastRenderedPageBreak/>
        <w:t>本会議決定</w:t>
      </w:r>
      <w:r>
        <w:rPr>
          <w:b/>
          <w:bCs/>
        </w:rPr>
        <w:t>22</w:t>
      </w:r>
      <w:r>
        <w:rPr>
          <w:b/>
          <w:bCs/>
        </w:rPr>
        <w:t>日から</w:t>
      </w:r>
      <w:r>
        <w:rPr>
          <w:b/>
          <w:bCs/>
        </w:rPr>
        <w:t>15</w:t>
      </w:r>
      <w:r>
        <w:rPr>
          <w:b/>
          <w:bCs/>
        </w:rPr>
        <w:t>日</w:t>
      </w:r>
      <w:r>
        <w:rPr>
          <w:b/>
          <w:bCs/>
        </w:rPr>
        <w:t>:</w:t>
      </w:r>
      <w:r>
        <w:t>本会議は、</w:t>
      </w:r>
      <w:r>
        <w:t>13</w:t>
      </w:r>
      <w:r>
        <w:t>ページ</w:t>
      </w:r>
      <w:r>
        <w:t>C</w:t>
      </w:r>
      <w:r>
        <w:t>項の変更を条件として、</w:t>
      </w:r>
      <w:r w:rsidR="005B637F">
        <w:rPr>
          <w:rFonts w:hint="eastAsia"/>
          <w:i/>
          <w:iCs/>
          <w:lang w:eastAsia="ja-JP"/>
        </w:rPr>
        <w:t>UN</w:t>
      </w:r>
      <w:r>
        <w:rPr>
          <w:i/>
          <w:iCs/>
        </w:rPr>
        <w:t>/CEFACT</w:t>
      </w:r>
      <w:r>
        <w:rPr>
          <w:i/>
          <w:iCs/>
        </w:rPr>
        <w:t>作業計画</w:t>
      </w:r>
      <w:r>
        <w:rPr>
          <w:i/>
          <w:iCs/>
        </w:rPr>
        <w:t>2023-2024</w:t>
      </w:r>
      <w:r>
        <w:t xml:space="preserve"> (ECE/TRADE/C/CEFACT/2022/21) </w:t>
      </w:r>
      <w:r>
        <w:t>を承認した。</w:t>
      </w:r>
    </w:p>
    <w:p w14:paraId="10DDAF53" w14:textId="4FF5B772" w:rsidR="00F8476E" w:rsidRDefault="007D1C72" w:rsidP="00DF16E9">
      <w:pPr>
        <w:pStyle w:val="SingleTxtG"/>
        <w:ind w:leftChars="71" w:left="566" w:right="141" w:hangingChars="212" w:hanging="424"/>
      </w:pPr>
      <w:r>
        <w:t>45.</w:t>
      </w:r>
      <w:r>
        <w:tab/>
      </w:r>
      <w:r>
        <w:t>事務局は、文書</w:t>
      </w:r>
      <w:r>
        <w:t>ECE/TRADE/C/CEFACT/2008/39/Rev.1</w:t>
      </w:r>
      <w:r>
        <w:rPr>
          <w:i/>
          <w:iCs/>
        </w:rPr>
        <w:t>国際連合貿易円滑化・電子ビジネスセンターの活動のための国際連合信託基金への予算外拠出の改訂</w:t>
      </w:r>
      <w:r>
        <w:t>を提示した。</w:t>
      </w:r>
      <w:r w:rsidR="00042939">
        <w:t>UN/CEFACT</w:t>
      </w:r>
      <w:r>
        <w:t>事務局の要請により発行されたこの文書は、</w:t>
      </w:r>
      <w:r w:rsidR="00042939">
        <w:t>UN/CEFACT</w:t>
      </w:r>
      <w:r>
        <w:t>への予算外拠出の手続の概要を示し、</w:t>
      </w:r>
      <w:r w:rsidR="00042939">
        <w:t>UN/CEFACT</w:t>
      </w:r>
      <w:r>
        <w:t>本会議の第</w:t>
      </w:r>
      <w:r>
        <w:t>14</w:t>
      </w:r>
      <w:r>
        <w:t>回会合で承認された文書</w:t>
      </w:r>
      <w:r>
        <w:t>ECE/TRADE/C/CEFACT/2008/39</w:t>
      </w:r>
      <w:r>
        <w:t>の改訂版である。</w:t>
      </w:r>
    </w:p>
    <w:p w14:paraId="239BB056" w14:textId="77777777" w:rsidR="00F8476E" w:rsidRDefault="00F8476E" w:rsidP="00DF16E9">
      <w:pPr>
        <w:pStyle w:val="SingleTxtG"/>
        <w:ind w:leftChars="71" w:left="568" w:right="141" w:hangingChars="212" w:hanging="426"/>
      </w:pPr>
      <w:r>
        <w:rPr>
          <w:b/>
          <w:bCs/>
        </w:rPr>
        <w:t>本会議決定</w:t>
      </w:r>
      <w:r>
        <w:rPr>
          <w:b/>
          <w:bCs/>
        </w:rPr>
        <w:t>22-16:</w:t>
      </w:r>
      <w:r>
        <w:t>本会議は、</w:t>
      </w:r>
      <w:r>
        <w:t>ECE/TRADE/C/CEFACT/2008/39/Rev.1</w:t>
      </w:r>
      <w:r>
        <w:t>、</w:t>
      </w:r>
      <w:r>
        <w:rPr>
          <w:i/>
          <w:iCs/>
        </w:rPr>
        <w:t>国際連合貿易円滑化電子ビジネスセンターの活動のための国際連合信託基金への修正された特別予算拠出金</w:t>
      </w:r>
      <w:r>
        <w:t>に留意し、特別予算</w:t>
      </w:r>
      <w:r>
        <w:t xml:space="preserve"> (XB) </w:t>
      </w:r>
      <w:r>
        <w:t>資金の動員において事務局を支援するとのコミットメントを表明した。</w:t>
      </w:r>
    </w:p>
    <w:p w14:paraId="7214B8EE" w14:textId="4149979B" w:rsidR="001323BE" w:rsidRDefault="001323BE" w:rsidP="00DF16E9">
      <w:pPr>
        <w:pStyle w:val="HChG"/>
        <w:ind w:leftChars="-14" w:left="568" w:right="141" w:hangingChars="212" w:hanging="596"/>
      </w:pPr>
      <w:r>
        <w:t>XIII</w:t>
      </w:r>
      <w:r w:rsidR="00DF16E9">
        <w:rPr>
          <w:rFonts w:hint="eastAsia"/>
          <w:lang w:eastAsia="ja-JP"/>
        </w:rPr>
        <w:t xml:space="preserve">. </w:t>
      </w:r>
      <w:r w:rsidR="00DF16E9">
        <w:rPr>
          <w:lang w:eastAsia="ja-JP"/>
        </w:rPr>
        <w:t xml:space="preserve">Activities of other ECE bodies and international organizations of interest to the CEFACT  </w:t>
      </w:r>
      <w:r w:rsidRPr="00DF16E9">
        <w:rPr>
          <w:sz w:val="22"/>
          <w:szCs w:val="22"/>
        </w:rPr>
        <w:t>国際連合貿易円滑化・電子ビジネスセンター</w:t>
      </w:r>
      <w:r w:rsidR="00DF16E9">
        <w:rPr>
          <w:rFonts w:hint="eastAsia"/>
          <w:sz w:val="22"/>
          <w:szCs w:val="22"/>
          <w:lang w:eastAsia="ja-JP"/>
        </w:rPr>
        <w:t xml:space="preserve"> (</w:t>
      </w:r>
      <w:r w:rsidR="00DF16E9">
        <w:rPr>
          <w:sz w:val="22"/>
          <w:szCs w:val="22"/>
          <w:lang w:eastAsia="ja-JP"/>
        </w:rPr>
        <w:t xml:space="preserve">UN/CEFACT) </w:t>
      </w:r>
      <w:r w:rsidRPr="00DF16E9">
        <w:rPr>
          <w:sz w:val="22"/>
          <w:szCs w:val="22"/>
        </w:rPr>
        <w:t>が関心を</w:t>
      </w:r>
      <w:r w:rsidR="00DF16E9">
        <w:rPr>
          <w:rFonts w:hint="eastAsia"/>
          <w:sz w:val="22"/>
          <w:szCs w:val="22"/>
          <w:lang w:val="fr-FR" w:eastAsia="ja-JP"/>
        </w:rPr>
        <w:t>持つ</w:t>
      </w:r>
      <w:r w:rsidRPr="00F82A90">
        <w:rPr>
          <w:sz w:val="22"/>
          <w:szCs w:val="22"/>
          <w:highlight w:val="yellow"/>
        </w:rPr>
        <w:t>他の欧州経済委員会</w:t>
      </w:r>
      <w:r w:rsidR="00DF16E9" w:rsidRPr="00F82A90">
        <w:rPr>
          <w:rFonts w:hint="eastAsia"/>
          <w:sz w:val="22"/>
          <w:szCs w:val="22"/>
          <w:highlight w:val="yellow"/>
          <w:lang w:eastAsia="ja-JP"/>
        </w:rPr>
        <w:t>(ECE)</w:t>
      </w:r>
      <w:r w:rsidRPr="00F82A90">
        <w:rPr>
          <w:sz w:val="22"/>
          <w:szCs w:val="22"/>
          <w:highlight w:val="yellow"/>
        </w:rPr>
        <w:t>機関及び国際機関の活動</w:t>
      </w:r>
    </w:p>
    <w:p w14:paraId="606AEE81" w14:textId="4C635C49" w:rsidR="00625EC3" w:rsidRPr="0002017A" w:rsidRDefault="007D1C72" w:rsidP="00DF16E9">
      <w:pPr>
        <w:pStyle w:val="SingleTxtG"/>
        <w:ind w:leftChars="71" w:left="566" w:right="141" w:hangingChars="212" w:hanging="424"/>
      </w:pPr>
      <w:r>
        <w:t>46.</w:t>
      </w:r>
      <w:r>
        <w:tab/>
      </w:r>
      <w:r>
        <w:t>事務局は、</w:t>
      </w:r>
      <w:r w:rsidR="00DF16E9">
        <w:rPr>
          <w:rFonts w:hint="eastAsia"/>
          <w:lang w:eastAsia="ja-JP"/>
        </w:rPr>
        <w:t>UN</w:t>
      </w:r>
      <w:r>
        <w:t>/CEFACT</w:t>
      </w:r>
      <w:r>
        <w:t>との現在および将来の協力の可能性のある分野に参加し、強調するために</w:t>
      </w:r>
      <w:r>
        <w:t>4</w:t>
      </w:r>
      <w:r>
        <w:t>つの組織単位を招待した。</w:t>
      </w:r>
    </w:p>
    <w:p w14:paraId="0A7F1C6D" w14:textId="4304DDDE" w:rsidR="0002017A" w:rsidRDefault="00625EC3" w:rsidP="00DF16E9">
      <w:pPr>
        <w:pStyle w:val="SingleTxtG"/>
        <w:numPr>
          <w:ilvl w:val="0"/>
          <w:numId w:val="31"/>
        </w:numPr>
        <w:ind w:leftChars="284" w:left="992" w:right="141" w:hangingChars="212" w:hanging="424"/>
      </w:pPr>
      <w:r>
        <w:t>ECE Transport Networks and Logistics</w:t>
      </w:r>
      <w:r>
        <w:t>セクションは、</w:t>
      </w:r>
      <w:r>
        <w:t>Inland Transport and Trade Connectivity eLearning Platform</w:t>
      </w:r>
      <w:r>
        <w:t>を発表した。持続可能な輸送とよりスマートな接続性に向けて努力する利害関係者を支援するために、国連内陸輸送の法的手段と貿易円滑化の原則、政策提言、基準、その他のツールに関する研修を提供し、</w:t>
      </w:r>
      <w:r w:rsidR="00DF16E9">
        <w:rPr>
          <w:rFonts w:hint="eastAsia"/>
          <w:lang w:eastAsia="ja-JP"/>
        </w:rPr>
        <w:t>UN</w:t>
      </w:r>
      <w:r>
        <w:t>/CEFACT</w:t>
      </w:r>
      <w:r>
        <w:t>の専門家とパートナーにとって価値のある貿易接続性を促進する。</w:t>
      </w:r>
    </w:p>
    <w:p w14:paraId="755173CF" w14:textId="4DEF0711" w:rsidR="00625EC3" w:rsidRPr="0002017A" w:rsidRDefault="00625EC3" w:rsidP="00DF16E9">
      <w:pPr>
        <w:pStyle w:val="SingleTxtG"/>
        <w:numPr>
          <w:ilvl w:val="0"/>
          <w:numId w:val="31"/>
        </w:numPr>
        <w:ind w:leftChars="284" w:left="992" w:right="141" w:hangingChars="212" w:hanging="424"/>
      </w:pPr>
      <w:r>
        <w:t>国連貿易円滑化課は、</w:t>
      </w:r>
      <w:r w:rsidR="00DF16E9">
        <w:rPr>
          <w:rFonts w:hint="eastAsia"/>
          <w:lang w:eastAsia="ja-JP"/>
        </w:rPr>
        <w:t>UN</w:t>
      </w:r>
      <w:r>
        <w:t>/CEFACT</w:t>
      </w:r>
      <w:r>
        <w:t>プロジェクトへの国連貿易開発会議の積極的な関与を概説し、貿易円滑化及び運輸の分野における受益国における国連貿易開発会議の技術協力及び能力構築活動の主要なハイライトを共有した。これは、国連貿易開発会議の</w:t>
      </w:r>
      <w:r>
        <w:t>ASYCUDA</w:t>
      </w:r>
      <w:r>
        <w:t>プログラム、</w:t>
      </w:r>
      <w:r>
        <w:t>TrainForTrade</w:t>
      </w:r>
      <w:r>
        <w:t>イニシアティブ、貿易円滑化及び運輸作業プログラムに関連するプロジェクトの</w:t>
      </w:r>
      <w:r>
        <w:t>2021-2022</w:t>
      </w:r>
      <w:r>
        <w:t>年の成果物及び進捗を要約したものである。</w:t>
      </w:r>
    </w:p>
    <w:p w14:paraId="50D4BEB1" w14:textId="0EBAFEBE" w:rsidR="00625EC3" w:rsidRDefault="00625EC3" w:rsidP="00DF16E9">
      <w:pPr>
        <w:pStyle w:val="SingleTxtG"/>
        <w:numPr>
          <w:ilvl w:val="0"/>
          <w:numId w:val="31"/>
        </w:numPr>
        <w:ind w:leftChars="284" w:left="992" w:right="141" w:hangingChars="212" w:hanging="424"/>
      </w:pPr>
      <w:r>
        <w:t>国際貿易センターは、</w:t>
      </w:r>
      <w:r>
        <w:t>TFA</w:t>
      </w:r>
      <w:r>
        <w:t>の義務に従い、</w:t>
      </w:r>
      <w:r>
        <w:t>20</w:t>
      </w:r>
      <w:r>
        <w:t>カ国以上で</w:t>
      </w:r>
      <w:r>
        <w:t>50</w:t>
      </w:r>
      <w:r>
        <w:t>以上の改革の実施を支援したと報告した。それは、</w:t>
      </w:r>
      <w:r>
        <w:t>ECE</w:t>
      </w:r>
      <w:r>
        <w:t>と共同で開発された、現代的で統合されたリスク管理システムの原則、戦略、ロードマップに関する出版物を提示した。また、ペーパーレス貿易とジェンダーに配慮した貿易円滑化のためのデジタルソリューションの役割を繰り返し表明したが、これは</w:t>
      </w:r>
      <w:r w:rsidR="00DF16E9">
        <w:rPr>
          <w:rFonts w:hint="eastAsia"/>
          <w:lang w:eastAsia="ja-JP"/>
        </w:rPr>
        <w:t>UN</w:t>
      </w:r>
      <w:r>
        <w:t>/CEFACT</w:t>
      </w:r>
      <w:r>
        <w:t>との協力分野である。</w:t>
      </w:r>
    </w:p>
    <w:p w14:paraId="0CA4604D" w14:textId="77777777" w:rsidR="00625EC3" w:rsidRDefault="00625EC3" w:rsidP="00DF16E9">
      <w:pPr>
        <w:pStyle w:val="SingleTxtG"/>
        <w:numPr>
          <w:ilvl w:val="0"/>
          <w:numId w:val="31"/>
        </w:numPr>
        <w:ind w:leftChars="284" w:left="992" w:right="141" w:hangingChars="212" w:hanging="424"/>
      </w:pPr>
      <w:r>
        <w:t>ワシントン条約事務局は、現在の作業を提示し、協力の重要性と許可証や押収に関する情報を改善する必要性を再認識させた。ワシントン条約は、開発途上国における</w:t>
      </w:r>
      <w:r>
        <w:t>eCITES</w:t>
      </w:r>
      <w:r>
        <w:t>許可管理システムの実施に向けて、リスクマネジメントガイダンスの策定と</w:t>
      </w:r>
      <w:r>
        <w:t>e</w:t>
      </w:r>
      <w:r>
        <w:t>許可システムの一層の普及、ひいてはより多くの支援に関して、</w:t>
      </w:r>
      <w:r>
        <w:t>UN/CEFACT</w:t>
      </w:r>
      <w:r>
        <w:t>と協力することができる。</w:t>
      </w:r>
    </w:p>
    <w:p w14:paraId="60CA6186" w14:textId="0FBD686B" w:rsidR="00070E46" w:rsidRDefault="005E51EE" w:rsidP="006D096C">
      <w:pPr>
        <w:pStyle w:val="HChG"/>
        <w:tabs>
          <w:tab w:val="clear" w:pos="851"/>
          <w:tab w:val="right" w:pos="709"/>
        </w:tabs>
        <w:ind w:left="736" w:right="141" w:hangingChars="262" w:hanging="736"/>
      </w:pPr>
      <w:r>
        <w:tab/>
        <w:t>XIV</w:t>
      </w:r>
      <w:r w:rsidR="006D096C">
        <w:rPr>
          <w:rFonts w:hint="eastAsia"/>
          <w:lang w:eastAsia="ja-JP"/>
        </w:rPr>
        <w:t>.</w:t>
      </w:r>
      <w:r w:rsidR="006D096C">
        <w:t xml:space="preserve"> Advisory Group on the United Nations Code for Trade and Transport Locations (agenda item 8)</w:t>
      </w:r>
      <w:r>
        <w:tab/>
      </w:r>
      <w:r w:rsidRPr="00F82A90">
        <w:rPr>
          <w:sz w:val="22"/>
          <w:szCs w:val="22"/>
          <w:highlight w:val="yellow"/>
        </w:rPr>
        <w:t>国連貿易輸送拠点コード諮問グループ</w:t>
      </w:r>
    </w:p>
    <w:p w14:paraId="36B05C59" w14:textId="5A7C1C4C" w:rsidR="0013142C" w:rsidRDefault="007D1C72" w:rsidP="006D096C">
      <w:pPr>
        <w:pStyle w:val="SingleTxtG"/>
        <w:ind w:leftChars="71" w:left="566" w:right="141" w:hangingChars="212" w:hanging="424"/>
      </w:pPr>
      <w:r>
        <w:t>47.</w:t>
      </w:r>
      <w:r>
        <w:tab/>
      </w:r>
      <w:r>
        <w:rPr>
          <w:i/>
          <w:iCs/>
        </w:rPr>
        <w:t>国連貿易輸送拠点コード</w:t>
      </w:r>
      <w:r>
        <w:rPr>
          <w:i/>
          <w:iCs/>
        </w:rPr>
        <w:t xml:space="preserve"> (UN/LOCODE) </w:t>
      </w:r>
      <w:r>
        <w:rPr>
          <w:i/>
          <w:iCs/>
        </w:rPr>
        <w:t>に関する諮問グループの報告書</w:t>
      </w:r>
      <w:r>
        <w:t xml:space="preserve"> (ECE/TRADE/C/CEFACT/2022/22) </w:t>
      </w:r>
      <w:r>
        <w:t>および</w:t>
      </w:r>
      <w:r>
        <w:t>2022-2023</w:t>
      </w:r>
      <w:r>
        <w:t>年の期間の作業計画</w:t>
      </w:r>
      <w:r>
        <w:t xml:space="preserve"> (ECE/TRADE/C/CEFACT/2022/23/Rev.1) </w:t>
      </w:r>
      <w:r>
        <w:t>に示されているように、国連貿易輸送拠点コード</w:t>
      </w:r>
      <w:r>
        <w:t xml:space="preserve"> (UN/LOCODE) </w:t>
      </w:r>
      <w:r>
        <w:t>に関する諮問グループの過去の作業を提示した。</w:t>
      </w:r>
    </w:p>
    <w:p w14:paraId="2B0CC650" w14:textId="1817EE6A" w:rsidR="00803333" w:rsidRPr="0013142C" w:rsidRDefault="007D1C72" w:rsidP="006D096C">
      <w:pPr>
        <w:pStyle w:val="SingleTxtG"/>
        <w:ind w:leftChars="71" w:left="566" w:right="141" w:hangingChars="212" w:hanging="424"/>
      </w:pPr>
      <w:r>
        <w:t>48.</w:t>
      </w:r>
      <w:r>
        <w:tab/>
      </w:r>
      <w:r w:rsidR="006D096C">
        <w:t>UN</w:t>
      </w:r>
      <w:r>
        <w:t>/CEFACT</w:t>
      </w:r>
      <w:r>
        <w:t>本会議は、</w:t>
      </w:r>
      <w:r>
        <w:t>2021</w:t>
      </w:r>
      <w:r>
        <w:t>年</w:t>
      </w:r>
      <w:r>
        <w:t>11</w:t>
      </w:r>
      <w:r>
        <w:t>月</w:t>
      </w:r>
      <w:r>
        <w:t>23</w:t>
      </w:r>
      <w:r>
        <w:t>日から</w:t>
      </w:r>
      <w:r>
        <w:t>2022</w:t>
      </w:r>
      <w:r>
        <w:t>年</w:t>
      </w:r>
      <w:r>
        <w:t>1</w:t>
      </w:r>
      <w:r>
        <w:t>月</w:t>
      </w:r>
      <w:r>
        <w:t>23</w:t>
      </w:r>
      <w:r>
        <w:t>日まで開催された会期間承認手続きを通じて、</w:t>
      </w:r>
      <w:r w:rsidR="006D096C">
        <w:rPr>
          <w:rFonts w:hint="eastAsia"/>
          <w:lang w:eastAsia="ja-JP"/>
        </w:rPr>
        <w:t>U</w:t>
      </w:r>
      <w:r w:rsidR="006D096C">
        <w:rPr>
          <w:lang w:eastAsia="ja-JP"/>
        </w:rPr>
        <w:t>N</w:t>
      </w:r>
      <w:r>
        <w:t>/LOCODE</w:t>
      </w:r>
      <w:r>
        <w:t>諮問グループの権限と付託事項、および作業計画</w:t>
      </w:r>
      <w:r>
        <w:t>2022-2023</w:t>
      </w:r>
      <w:r>
        <w:t>を採択した。執行委員会</w:t>
      </w:r>
      <w:r>
        <w:t xml:space="preserve"> (EXCOM) </w:t>
      </w:r>
      <w:r>
        <w:t>は、</w:t>
      </w:r>
      <w:r>
        <w:t>2022</w:t>
      </w:r>
      <w:r>
        <w:t>年</w:t>
      </w:r>
      <w:r>
        <w:t>3</w:t>
      </w:r>
      <w:r>
        <w:t>月</w:t>
      </w:r>
      <w:r>
        <w:t>24</w:t>
      </w:r>
      <w:r>
        <w:t>日の</w:t>
      </w:r>
      <w:r>
        <w:rPr>
          <w:vertAlign w:val="superscript"/>
        </w:rPr>
        <w:t>第</w:t>
      </w:r>
      <w:r>
        <w:rPr>
          <w:vertAlign w:val="superscript"/>
        </w:rPr>
        <w:t>121</w:t>
      </w:r>
      <w:r>
        <w:rPr>
          <w:vertAlign w:val="superscript"/>
        </w:rPr>
        <w:t>回</w:t>
      </w:r>
      <w:r>
        <w:t>会合において、</w:t>
      </w:r>
      <w:r w:rsidR="006D096C">
        <w:rPr>
          <w:rFonts w:hint="eastAsia"/>
          <w:lang w:eastAsia="ja-JP"/>
        </w:rPr>
        <w:t>U</w:t>
      </w:r>
      <w:r w:rsidR="006D096C">
        <w:rPr>
          <w:lang w:eastAsia="ja-JP"/>
        </w:rPr>
        <w:t>N</w:t>
      </w:r>
      <w:r>
        <w:t>/LOCODE</w:t>
      </w:r>
      <w:r>
        <w:t>に関する諮問グループの権限と付託条項を承認した。</w:t>
      </w:r>
    </w:p>
    <w:p w14:paraId="2CB07C61" w14:textId="661AD8AF" w:rsidR="00961F93" w:rsidRDefault="007D1C72" w:rsidP="006D096C">
      <w:pPr>
        <w:pStyle w:val="SingleTxtG"/>
        <w:ind w:leftChars="71" w:left="566" w:right="141" w:hangingChars="212" w:hanging="424"/>
      </w:pPr>
      <w:r>
        <w:t>49.</w:t>
      </w:r>
      <w:r>
        <w:tab/>
      </w:r>
      <w:r>
        <w:t>文書</w:t>
      </w:r>
      <w:r>
        <w:t>ECE/EX/2022/L.5</w:t>
      </w:r>
      <w:r>
        <w:rPr>
          <w:i/>
          <w:iCs/>
        </w:rPr>
        <w:t>国連貿易円滑化・電子ビジネスセンターに関連する事項に関する決定</w:t>
      </w:r>
      <w:r>
        <w:t>は、本会議に提出され、注目された。</w:t>
      </w:r>
    </w:p>
    <w:p w14:paraId="203691FE" w14:textId="4A53F700" w:rsidR="00DA1675" w:rsidRDefault="0013142C" w:rsidP="006D096C">
      <w:pPr>
        <w:pStyle w:val="SingleTxtG"/>
        <w:ind w:leftChars="71" w:left="568" w:right="141" w:hangingChars="212" w:hanging="426"/>
      </w:pPr>
      <w:r>
        <w:rPr>
          <w:b/>
          <w:bCs/>
        </w:rPr>
        <w:lastRenderedPageBreak/>
        <w:t>本会議決定</w:t>
      </w:r>
      <w:r>
        <w:rPr>
          <w:b/>
          <w:bCs/>
        </w:rPr>
        <w:t>22-17:</w:t>
      </w:r>
      <w:r>
        <w:t>本会議は、</w:t>
      </w:r>
      <w:r>
        <w:rPr>
          <w:i/>
          <w:iCs/>
        </w:rPr>
        <w:t>前回本会議以降の活動に関する</w:t>
      </w:r>
      <w:r w:rsidR="006D096C">
        <w:rPr>
          <w:rFonts w:hint="eastAsia"/>
          <w:i/>
          <w:iCs/>
          <w:lang w:eastAsia="ja-JP"/>
        </w:rPr>
        <w:t>U</w:t>
      </w:r>
      <w:r w:rsidR="006D096C">
        <w:rPr>
          <w:i/>
          <w:iCs/>
          <w:lang w:eastAsia="ja-JP"/>
        </w:rPr>
        <w:t>N</w:t>
      </w:r>
      <w:r>
        <w:rPr>
          <w:i/>
          <w:iCs/>
        </w:rPr>
        <w:t>/LOCODE</w:t>
      </w:r>
      <w:r>
        <w:rPr>
          <w:i/>
          <w:iCs/>
        </w:rPr>
        <w:t>諮問グループの報告書</w:t>
      </w:r>
      <w:r>
        <w:t xml:space="preserve"> (ECE/TRADE/C/CEFACT/2022/22) </w:t>
      </w:r>
      <w:r>
        <w:t>を承認し、</w:t>
      </w:r>
      <w:r w:rsidR="006D096C">
        <w:rPr>
          <w:rFonts w:hint="eastAsia"/>
          <w:i/>
          <w:iCs/>
          <w:lang w:eastAsia="ja-JP"/>
        </w:rPr>
        <w:t>U</w:t>
      </w:r>
      <w:r w:rsidR="006D096C">
        <w:rPr>
          <w:i/>
          <w:iCs/>
          <w:lang w:eastAsia="ja-JP"/>
        </w:rPr>
        <w:t>N</w:t>
      </w:r>
      <w:r>
        <w:rPr>
          <w:i/>
          <w:iCs/>
        </w:rPr>
        <w:t>/LOCODE</w:t>
      </w:r>
      <w:r>
        <w:rPr>
          <w:i/>
          <w:iCs/>
        </w:rPr>
        <w:t>作業計画</w:t>
      </w:r>
      <w:r>
        <w:rPr>
          <w:i/>
          <w:iCs/>
        </w:rPr>
        <w:t>2022-2023</w:t>
      </w:r>
      <w:r>
        <w:rPr>
          <w:i/>
          <w:iCs/>
        </w:rPr>
        <w:t>に関する諮問グループ</w:t>
      </w:r>
      <w:r>
        <w:t xml:space="preserve"> (ECE/TRADE/C/CEFACT/2022/23/Rev.1) </w:t>
      </w:r>
      <w:r>
        <w:t>および</w:t>
      </w:r>
      <w:r>
        <w:rPr>
          <w:i/>
          <w:iCs/>
        </w:rPr>
        <w:t>国連貿易円滑化電子ビジネスセンター</w:t>
      </w:r>
      <w:r>
        <w:rPr>
          <w:i/>
          <w:iCs/>
        </w:rPr>
        <w:t xml:space="preserve"> (ECE/EX/2022/L.5) </w:t>
      </w:r>
      <w:r>
        <w:rPr>
          <w:i/>
          <w:iCs/>
        </w:rPr>
        <w:t>に関する事項に関する決定</w:t>
      </w:r>
      <w:r>
        <w:t>に留意した。</w:t>
      </w:r>
    </w:p>
    <w:p w14:paraId="6008B827" w14:textId="5A6F0634" w:rsidR="0013142C" w:rsidRPr="006D096C" w:rsidRDefault="0013142C" w:rsidP="006D096C">
      <w:pPr>
        <w:pStyle w:val="HChG"/>
        <w:tabs>
          <w:tab w:val="clear" w:pos="851"/>
          <w:tab w:val="right" w:pos="709"/>
        </w:tabs>
        <w:ind w:leftChars="-14" w:left="568" w:right="141" w:hangingChars="212" w:hanging="596"/>
        <w:rPr>
          <w:sz w:val="22"/>
          <w:szCs w:val="22"/>
        </w:rPr>
      </w:pPr>
      <w:r>
        <w:t>XV</w:t>
      </w:r>
      <w:r w:rsidR="006D096C">
        <w:t>.</w:t>
      </w:r>
      <w:r>
        <w:tab/>
      </w:r>
      <w:r w:rsidR="006D096C">
        <w:t xml:space="preserve">Team of Specialists on Environmental, Social and Governance (ESG) Traceability of Sustainable Value Chains in the Circular Economy (agenda item 9) </w:t>
      </w:r>
      <w:r w:rsidRPr="00F82A90">
        <w:rPr>
          <w:sz w:val="22"/>
          <w:szCs w:val="22"/>
          <w:highlight w:val="yellow"/>
        </w:rPr>
        <w:t>循環経済における持続可能なバリューチェーンの環境、社会、ガバナンスのトレーサビリティに関する専門家チーム</w:t>
      </w:r>
    </w:p>
    <w:p w14:paraId="57E24CC5" w14:textId="01EDD242" w:rsidR="0026380F" w:rsidRDefault="007D1C72" w:rsidP="006D096C">
      <w:pPr>
        <w:pStyle w:val="SingleTxtG"/>
        <w:ind w:leftChars="71" w:left="566" w:right="141" w:hangingChars="212" w:hanging="424"/>
        <w:rPr>
          <w:lang w:eastAsia="ja-JP"/>
        </w:rPr>
      </w:pPr>
      <w:r>
        <w:t>50.</w:t>
      </w:r>
      <w:r>
        <w:tab/>
      </w:r>
      <w:r>
        <w:t>事務局は、</w:t>
      </w:r>
      <w:r>
        <w:t>2021</w:t>
      </w:r>
      <w:r>
        <w:t>年</w:t>
      </w:r>
      <w:r>
        <w:t>11</w:t>
      </w:r>
      <w:r>
        <w:t>月</w:t>
      </w:r>
      <w:r>
        <w:t>10</w:t>
      </w:r>
      <w:r>
        <w:t>日に開催された第</w:t>
      </w:r>
      <w:r>
        <w:t>1</w:t>
      </w:r>
      <w:r>
        <w:t>回</w:t>
      </w:r>
      <w:r w:rsidR="006D096C">
        <w:rPr>
          <w:rFonts w:hint="eastAsia"/>
          <w:lang w:eastAsia="ja-JP"/>
        </w:rPr>
        <w:t>会議</w:t>
      </w:r>
      <w:r>
        <w:t>で循環経済における持続可能なバリューチェーンの環境、社会、ガバナンスのトレーサビリティに関する専門家チームの作業を発表し、</w:t>
      </w:r>
      <w:r>
        <w:rPr>
          <w:i/>
          <w:iCs/>
        </w:rPr>
        <w:t>第</w:t>
      </w:r>
      <w:r>
        <w:rPr>
          <w:i/>
          <w:iCs/>
        </w:rPr>
        <w:t>1</w:t>
      </w:r>
      <w:r>
        <w:rPr>
          <w:i/>
          <w:iCs/>
        </w:rPr>
        <w:t>回会合における循環経済における持続可能なバリューチェーンの環境、社会、ガバナンスのトレーサビリティに関する専門家チームの報告書</w:t>
      </w:r>
      <w:r>
        <w:t xml:space="preserve"> (ECE/TRADE/C/CEFACT/2022/24) </w:t>
      </w:r>
      <w:r>
        <w:t>として承認を求めた。事務局は、</w:t>
      </w:r>
      <w:r>
        <w:t>2022</w:t>
      </w:r>
      <w:r>
        <w:t>年</w:t>
      </w:r>
      <w:r>
        <w:t>10</w:t>
      </w:r>
      <w:r>
        <w:t>月</w:t>
      </w:r>
      <w:r>
        <w:t>6</w:t>
      </w:r>
      <w:r>
        <w:t>日に行われた第</w:t>
      </w:r>
      <w:r>
        <w:t>2</w:t>
      </w:r>
      <w:r>
        <w:t>回</w:t>
      </w:r>
      <w:r w:rsidR="006D096C">
        <w:rPr>
          <w:rFonts w:hint="eastAsia"/>
          <w:lang w:eastAsia="ja-JP"/>
        </w:rPr>
        <w:t>会議</w:t>
      </w:r>
      <w:r>
        <w:t>と、</w:t>
      </w:r>
      <w:r w:rsidR="006D096C">
        <w:rPr>
          <w:rFonts w:hint="eastAsia"/>
          <w:lang w:eastAsia="ja-JP"/>
        </w:rPr>
        <w:t>会議</w:t>
      </w:r>
      <w:r>
        <w:t>中に行われた主要な決定について本会議に報告した。専門家チームの第二回</w:t>
      </w:r>
      <w:r w:rsidR="006D096C">
        <w:rPr>
          <w:rFonts w:hint="eastAsia"/>
          <w:lang w:eastAsia="ja-JP"/>
        </w:rPr>
        <w:t>会議</w:t>
      </w:r>
      <w:r>
        <w:t>は、専門家チームの任務を</w:t>
      </w:r>
      <w:r>
        <w:t>2025</w:t>
      </w:r>
      <w:r>
        <w:t>年まで延長するよう</w:t>
      </w:r>
      <w:r w:rsidR="00885F24">
        <w:rPr>
          <w:rFonts w:hint="eastAsia"/>
          <w:lang w:eastAsia="ja-JP"/>
        </w:rPr>
        <w:t>第</w:t>
      </w:r>
      <w:r w:rsidR="00885F24">
        <w:rPr>
          <w:rFonts w:hint="eastAsia"/>
          <w:lang w:eastAsia="ja-JP"/>
        </w:rPr>
        <w:t>28</w:t>
      </w:r>
      <w:r w:rsidR="00885F24">
        <w:rPr>
          <w:rFonts w:hint="eastAsia"/>
          <w:lang w:eastAsia="ja-JP"/>
        </w:rPr>
        <w:t>回</w:t>
      </w:r>
      <w:r w:rsidR="00885F24">
        <w:rPr>
          <w:rFonts w:hint="eastAsia"/>
          <w:lang w:eastAsia="ja-JP"/>
        </w:rPr>
        <w:t>UN</w:t>
      </w:r>
      <w:r>
        <w:t>/CEFACT</w:t>
      </w:r>
      <w:r>
        <w:t>総会に要請した。</w:t>
      </w:r>
    </w:p>
    <w:p w14:paraId="3772FC56" w14:textId="1FBA2E50" w:rsidR="0026380F" w:rsidRPr="007E355F" w:rsidRDefault="007D1C72" w:rsidP="006D096C">
      <w:pPr>
        <w:pStyle w:val="SingleTxtG"/>
        <w:ind w:leftChars="71" w:left="566" w:right="141" w:hangingChars="212" w:hanging="424"/>
      </w:pPr>
      <w:r>
        <w:t>51.</w:t>
      </w:r>
      <w:r>
        <w:tab/>
      </w:r>
      <w:r>
        <w:t>そして、文書</w:t>
      </w:r>
      <w:r>
        <w:t>ECE/TRADE/C/CEFACT/2021/23/Rev.1</w:t>
      </w:r>
      <w:r>
        <w:t>に概説されている</w:t>
      </w:r>
      <w:r>
        <w:rPr>
          <w:i/>
          <w:iCs/>
        </w:rPr>
        <w:t>循環経済における持続可能なバリューチェーンの環境、社会、ガバナンスのトレーサビリティに関する専門家チームの権限と付託事項の改訂</w:t>
      </w:r>
      <w:r>
        <w:t>を提示した。この文書は、第</w:t>
      </w:r>
      <w:r>
        <w:t>27</w:t>
      </w:r>
      <w:r>
        <w:t>回</w:t>
      </w:r>
      <w:r w:rsidR="00042939">
        <w:t>UN/CEFACT</w:t>
      </w:r>
      <w:r>
        <w:t>本会議</w:t>
      </w:r>
      <w:r>
        <w:t xml:space="preserve"> (</w:t>
      </w:r>
      <w:r>
        <w:t>本会議決定</w:t>
      </w:r>
      <w:r>
        <w:t xml:space="preserve">21-24) </w:t>
      </w:r>
      <w:r>
        <w:t>で承認された。</w:t>
      </w:r>
    </w:p>
    <w:p w14:paraId="668728CA" w14:textId="50B74F00" w:rsidR="00F1393C" w:rsidRDefault="007E355F" w:rsidP="006D096C">
      <w:pPr>
        <w:pStyle w:val="SingleTxtG"/>
        <w:ind w:leftChars="71" w:left="568" w:right="141" w:hangingChars="212" w:hanging="426"/>
      </w:pPr>
      <w:r>
        <w:rPr>
          <w:b/>
          <w:bCs/>
        </w:rPr>
        <w:t>本会議決定</w:t>
      </w:r>
      <w:r>
        <w:rPr>
          <w:b/>
          <w:bCs/>
        </w:rPr>
        <w:t>22-19:</w:t>
      </w:r>
      <w:r>
        <w:t>本会議は、</w:t>
      </w:r>
      <w:r>
        <w:rPr>
          <w:i/>
          <w:iCs/>
        </w:rPr>
        <w:t>循環経済における持続可能なバリューチェーンの環境的、社会的及びガバナンスのトレーサビリティに関する専門家チームの報告書を</w:t>
      </w:r>
      <w:r>
        <w:rPr>
          <w:i/>
          <w:iCs/>
        </w:rPr>
        <w:t>2021</w:t>
      </w:r>
      <w:r>
        <w:rPr>
          <w:i/>
          <w:iCs/>
        </w:rPr>
        <w:t>年の最初の会合で</w:t>
      </w:r>
      <w:r>
        <w:t xml:space="preserve"> (ECE/TRADE/C/CEFACT/2022/24) </w:t>
      </w:r>
      <w:r>
        <w:t>を承認し、その作業に対する感謝の意を表明し、</w:t>
      </w:r>
      <w:r>
        <w:t>UNECE</w:t>
      </w:r>
      <w:r>
        <w:t>の第</w:t>
      </w:r>
      <w:r>
        <w:t>60</w:t>
      </w:r>
      <w:r>
        <w:t>回目と第</w:t>
      </w:r>
      <w:r>
        <w:t>70</w:t>
      </w:r>
      <w:r>
        <w:t>回目の委員会セッション</w:t>
      </w:r>
      <w:r>
        <w:t>(</w:t>
      </w:r>
      <w:r>
        <w:t>循環経済と天然資源の持続可能な利用、デジタル化とグリーン化</w:t>
      </w:r>
      <w:r>
        <w:t>)</w:t>
      </w:r>
      <w:r>
        <w:t>の分野横断的な優先課題との関連性に留意した。</w:t>
      </w:r>
    </w:p>
    <w:p w14:paraId="2788F4B7" w14:textId="7F0B793C" w:rsidR="0064578B" w:rsidRPr="0090558F" w:rsidRDefault="0064578B" w:rsidP="006D096C">
      <w:pPr>
        <w:pStyle w:val="SingleTxtG"/>
        <w:ind w:leftChars="71" w:left="568" w:right="141" w:hangingChars="212" w:hanging="426"/>
      </w:pPr>
      <w:r>
        <w:rPr>
          <w:b/>
          <w:bCs/>
        </w:rPr>
        <w:t>本会議決定</w:t>
      </w:r>
      <w:r>
        <w:rPr>
          <w:b/>
          <w:bCs/>
        </w:rPr>
        <w:t>22-20.</w:t>
      </w:r>
      <w:r>
        <w:t>。本会議は、</w:t>
      </w:r>
      <w:r>
        <w:rPr>
          <w:i/>
          <w:iCs/>
        </w:rPr>
        <w:t>循環経済における持続可能なバリューチェーンの環境、社会、ガバナンスのトレーサビリティに関する専門家チームの改訂されたマンデートと付託条項</w:t>
      </w:r>
      <w:r>
        <w:t xml:space="preserve"> (ECE/TRADE/C/CEFACT/2021/23/Rev.1) </w:t>
      </w:r>
      <w:r>
        <w:t>に留意し、そのマンデートを</w:t>
      </w:r>
      <w:r>
        <w:t>2025</w:t>
      </w:r>
      <w:r>
        <w:t>年まで延長することを決定し、移行経済国における</w:t>
      </w:r>
      <w:r>
        <w:t>UNECE</w:t>
      </w:r>
      <w:r>
        <w:t>文書の展開を支援するための特別予算の資金の利用可能性を調査するためにドナーを招待した。</w:t>
      </w:r>
    </w:p>
    <w:p w14:paraId="641B3BC7" w14:textId="24C2B0BB" w:rsidR="0062270C" w:rsidRDefault="002D4436" w:rsidP="00885F24">
      <w:pPr>
        <w:pStyle w:val="HChG"/>
        <w:ind w:leftChars="-14" w:left="568" w:right="141" w:hangingChars="212" w:hanging="596"/>
      </w:pPr>
      <w:r>
        <w:t>XVI</w:t>
      </w:r>
      <w:r w:rsidR="00885F24">
        <w:rPr>
          <w:rFonts w:hint="eastAsia"/>
          <w:lang w:eastAsia="ja-JP"/>
        </w:rPr>
        <w:t xml:space="preserve">. Future </w:t>
      </w:r>
      <w:r w:rsidR="00885F24">
        <w:rPr>
          <w:lang w:eastAsia="ja-JP"/>
        </w:rPr>
        <w:t xml:space="preserve">Challenges in trade facilitation and electronic business in the context of the Seventieth session of the Economic Commission for Europe (agenda item 10)  </w:t>
      </w:r>
      <w:r w:rsidRPr="00F82A90">
        <w:rPr>
          <w:sz w:val="22"/>
          <w:szCs w:val="22"/>
          <w:highlight w:val="yellow"/>
        </w:rPr>
        <w:t>第</w:t>
      </w:r>
      <w:r w:rsidRPr="00F82A90">
        <w:rPr>
          <w:sz w:val="22"/>
          <w:szCs w:val="22"/>
          <w:highlight w:val="yellow"/>
        </w:rPr>
        <w:t>7</w:t>
      </w:r>
      <w:r w:rsidR="00885F24" w:rsidRPr="00F82A90">
        <w:rPr>
          <w:sz w:val="22"/>
          <w:szCs w:val="22"/>
          <w:highlight w:val="yellow"/>
        </w:rPr>
        <w:t>0</w:t>
      </w:r>
      <w:r w:rsidR="00885F24" w:rsidRPr="00F82A90">
        <w:rPr>
          <w:rFonts w:hint="eastAsia"/>
          <w:sz w:val="22"/>
          <w:szCs w:val="22"/>
          <w:highlight w:val="yellow"/>
          <w:lang w:eastAsia="ja-JP"/>
        </w:rPr>
        <w:t>回</w:t>
      </w:r>
      <w:r w:rsidRPr="00F82A90">
        <w:rPr>
          <w:sz w:val="22"/>
          <w:szCs w:val="22"/>
          <w:highlight w:val="yellow"/>
        </w:rPr>
        <w:t>欧州経済委員会</w:t>
      </w:r>
      <w:r w:rsidRPr="00F82A90">
        <w:rPr>
          <w:sz w:val="22"/>
          <w:szCs w:val="22"/>
          <w:highlight w:val="yellow"/>
        </w:rPr>
        <w:t xml:space="preserve"> </w:t>
      </w:r>
      <w:r w:rsidRPr="00F82A90">
        <w:rPr>
          <w:sz w:val="22"/>
          <w:szCs w:val="22"/>
          <w:highlight w:val="yellow"/>
        </w:rPr>
        <w:t>の文脈における貿易円滑化と電子ビジネス</w:t>
      </w:r>
      <w:r w:rsidR="00885F24" w:rsidRPr="00F82A90">
        <w:rPr>
          <w:rFonts w:hint="eastAsia"/>
          <w:sz w:val="22"/>
          <w:szCs w:val="22"/>
          <w:highlight w:val="yellow"/>
          <w:lang w:eastAsia="ja-JP"/>
        </w:rPr>
        <w:t>の</w:t>
      </w:r>
      <w:r w:rsidRPr="00F82A90">
        <w:rPr>
          <w:sz w:val="22"/>
          <w:szCs w:val="22"/>
          <w:highlight w:val="yellow"/>
        </w:rPr>
        <w:t>将来の課題</w:t>
      </w:r>
    </w:p>
    <w:p w14:paraId="3C63AF04" w14:textId="714BC339" w:rsidR="00557966" w:rsidRDefault="008F510F" w:rsidP="006D096C">
      <w:pPr>
        <w:pStyle w:val="SingleTxtG"/>
        <w:ind w:leftChars="71" w:left="566" w:right="141" w:hangingChars="212" w:hanging="424"/>
      </w:pPr>
      <w:r>
        <w:t>52.</w:t>
      </w:r>
      <w:r>
        <w:tab/>
      </w:r>
      <w:r>
        <w:t>第</w:t>
      </w:r>
      <w:r>
        <w:t>70</w:t>
      </w:r>
      <w:r>
        <w:t>回目の</w:t>
      </w:r>
      <w:r>
        <w:t>ECE</w:t>
      </w:r>
      <w:r>
        <w:t>は、</w:t>
      </w:r>
      <w:r>
        <w:t>2023</w:t>
      </w:r>
      <w:r>
        <w:t>年</w:t>
      </w:r>
      <w:r>
        <w:t>4</w:t>
      </w:r>
      <w:r>
        <w:t>月にジュネーブのパレ・デ・ナシオンで開催される。</w:t>
      </w:r>
      <w:r>
        <w:t>2021</w:t>
      </w:r>
      <w:r>
        <w:t>年</w:t>
      </w:r>
      <w:r>
        <w:t>12</w:t>
      </w:r>
      <w:r>
        <w:t>月</w:t>
      </w:r>
      <w:r>
        <w:t>16</w:t>
      </w:r>
      <w:r>
        <w:t>日の</w:t>
      </w:r>
      <w:r>
        <w:rPr>
          <w:vertAlign w:val="superscript"/>
        </w:rPr>
        <w:t>第</w:t>
      </w:r>
      <w:r>
        <w:rPr>
          <w:vertAlign w:val="superscript"/>
        </w:rPr>
        <w:t>119</w:t>
      </w:r>
      <w:r>
        <w:rPr>
          <w:vertAlign w:val="superscript"/>
        </w:rPr>
        <w:t>回</w:t>
      </w:r>
      <w:r>
        <w:t>会合での包括的な協議を経て、</w:t>
      </w:r>
      <w:r>
        <w:t>EXCOM</w:t>
      </w:r>
      <w:r>
        <w:t>は第</w:t>
      </w:r>
      <w:r>
        <w:t>70</w:t>
      </w:r>
      <w:r>
        <w:t>回目のハイレベルセグメントに横断的なテーマを指定した。したがって、</w:t>
      </w:r>
      <w:r>
        <w:t>2023</w:t>
      </w:r>
      <w:r>
        <w:t>年の</w:t>
      </w:r>
      <w:r>
        <w:t>ECE</w:t>
      </w:r>
      <w:r>
        <w:t>の議論は</w:t>
      </w:r>
      <w:r w:rsidRPr="00F82A90">
        <w:rPr>
          <w:i/>
          <w:iCs/>
          <w:highlight w:val="yellow"/>
        </w:rPr>
        <w:t>ECE</w:t>
      </w:r>
      <w:r w:rsidRPr="00F82A90">
        <w:rPr>
          <w:i/>
          <w:iCs/>
          <w:highlight w:val="yellow"/>
        </w:rPr>
        <w:t>地域の持続可能な開発のためのデジタルとグリーンの変革</w:t>
      </w:r>
      <w:r w:rsidR="00885F24">
        <w:rPr>
          <w:rFonts w:hint="eastAsia"/>
          <w:i/>
          <w:iCs/>
          <w:lang w:eastAsia="ja-JP"/>
        </w:rPr>
        <w:t xml:space="preserve">　</w:t>
      </w:r>
      <w:r>
        <w:t>(EXCOM</w:t>
      </w:r>
      <w:r>
        <w:t>非公式文書</w:t>
      </w:r>
      <w:r>
        <w:t>No.2021/32)</w:t>
      </w:r>
      <w:r w:rsidR="00885F24">
        <w:rPr>
          <w:rFonts w:hint="eastAsia"/>
          <w:lang w:eastAsia="ja-JP"/>
        </w:rPr>
        <w:t xml:space="preserve">　</w:t>
      </w:r>
      <w:r>
        <w:t>に焦点を当てる予定である。</w:t>
      </w:r>
    </w:p>
    <w:p w14:paraId="1EBABA21" w14:textId="01DD8AD7" w:rsidR="009E1481" w:rsidRDefault="008F510F" w:rsidP="006D096C">
      <w:pPr>
        <w:pStyle w:val="SingleTxtG"/>
        <w:ind w:leftChars="71" w:left="566" w:right="141" w:hangingChars="212" w:hanging="424"/>
      </w:pPr>
      <w:r>
        <w:t>53.</w:t>
      </w:r>
      <w:r>
        <w:tab/>
        <w:t>UN/CEFACT</w:t>
      </w:r>
      <w:r>
        <w:t>は、関連する</w:t>
      </w:r>
      <w:r>
        <w:t>ECE</w:t>
      </w:r>
      <w:r>
        <w:t>ツールと機器の簡単な在庫を準備するよう要請されており、議長から本会議に提出されたもので、すでに完了したテーマ別行動と関連する進行中の作業の簡単な概要を網羅している</w:t>
      </w:r>
      <w:r>
        <w:t xml:space="preserve"> (ECE/TRADE/C/CEFACT/2022/INF.2) </w:t>
      </w:r>
      <w:r>
        <w:t>。</w:t>
      </w:r>
    </w:p>
    <w:p w14:paraId="5B91AE6A" w14:textId="4726F764" w:rsidR="0017610E" w:rsidRPr="0069230A" w:rsidRDefault="0017610E" w:rsidP="006D096C">
      <w:pPr>
        <w:pStyle w:val="SingleTxtG"/>
        <w:ind w:leftChars="71" w:left="568" w:right="141" w:hangingChars="212" w:hanging="426"/>
        <w:rPr>
          <w:i/>
          <w:iCs/>
        </w:rPr>
      </w:pPr>
      <w:r>
        <w:rPr>
          <w:b/>
          <w:bCs/>
        </w:rPr>
        <w:t>本会議決定</w:t>
      </w:r>
      <w:r>
        <w:rPr>
          <w:b/>
          <w:bCs/>
        </w:rPr>
        <w:t>22-21:</w:t>
      </w:r>
      <w:r>
        <w:t>本会議は、</w:t>
      </w:r>
      <w:r>
        <w:t>ECE</w:t>
      </w:r>
      <w:r>
        <w:t>事務局長による</w:t>
      </w:r>
      <w:r>
        <w:t>UN/CEFACT</w:t>
      </w:r>
      <w:r>
        <w:t>議長への要請と回答</w:t>
      </w:r>
      <w:r>
        <w:t xml:space="preserve"> (ECE/TRADE/C/CEFACT/2022/INF.4) </w:t>
      </w:r>
      <w:r>
        <w:t>に留意した。</w:t>
      </w:r>
    </w:p>
    <w:p w14:paraId="53DA50C5" w14:textId="5A63D269" w:rsidR="004A7A41" w:rsidRDefault="00322787" w:rsidP="006D096C">
      <w:pPr>
        <w:pStyle w:val="SingleTxtG"/>
        <w:ind w:leftChars="71" w:left="566" w:right="141" w:hangingChars="212" w:hanging="424"/>
      </w:pPr>
      <w:r>
        <w:t>54.</w:t>
      </w:r>
      <w:r>
        <w:tab/>
      </w:r>
      <w:r>
        <w:t>講演者は、繊維、衣料品、重要な原材料部門におけるトレーサビリティに対する消費者、投資家、規制当局からの高い需要を強調した。これらの分野は気候や人権に大きな影響を与える。ネットゼロの目標を達成するためには、環境基準、社会基準、ガバナンス基準の遵守が重要である。これには、先進技術の利益を考慮し、技術支援や中小企業との協力を通じて新興経済国を関与させ、イン</w:t>
      </w:r>
      <w:r>
        <w:lastRenderedPageBreak/>
        <w:t>センティブのシステムを開発するための政策や規範の方向性を超えた統合的な行動が必要である。標準的な観点からは、ポスト消費分野への拡大に伴う企業間、企業対消費者、企業対政府の標準の調和と発展が必要である。</w:t>
      </w:r>
    </w:p>
    <w:p w14:paraId="767F6B65" w14:textId="59EB16A9" w:rsidR="00B453BA" w:rsidRDefault="008F510F" w:rsidP="006D096C">
      <w:pPr>
        <w:pStyle w:val="SingleTxtG"/>
        <w:ind w:leftChars="71" w:left="566" w:right="141" w:hangingChars="212" w:hanging="424"/>
      </w:pPr>
      <w:r>
        <w:t>55.</w:t>
      </w:r>
      <w:r>
        <w:tab/>
      </w:r>
      <w:r>
        <w:t>講演者は、ウクライナの港湾における汚職防止、港湾情報システムの開発、</w:t>
      </w:r>
      <w:r>
        <w:t>2022</w:t>
      </w:r>
      <w:r>
        <w:t>年の穀物回廊の設置のための</w:t>
      </w:r>
      <w:r>
        <w:t>ECE</w:t>
      </w:r>
      <w:r>
        <w:t>勧告第</w:t>
      </w:r>
      <w:r>
        <w:t>33</w:t>
      </w:r>
      <w:r>
        <w:t>号、第</w:t>
      </w:r>
      <w:r>
        <w:t>34</w:t>
      </w:r>
      <w:r>
        <w:t>号、第</w:t>
      </w:r>
      <w:r>
        <w:t>35</w:t>
      </w:r>
      <w:r>
        <w:t>号の重要性を強調した。これにより、紙やペーパーレスの文書の処理を可能にしつつ、より迅速なデータ処理が可能になった。</w:t>
      </w:r>
    </w:p>
    <w:p w14:paraId="3F43FCFC" w14:textId="4F574B88" w:rsidR="00FF343C" w:rsidRPr="009E6550" w:rsidRDefault="008F510F" w:rsidP="006D096C">
      <w:pPr>
        <w:pStyle w:val="SingleTxtG"/>
        <w:ind w:leftChars="71" w:left="566" w:right="141" w:hangingChars="212" w:hanging="424"/>
        <w:rPr>
          <w:lang w:val="en-US"/>
        </w:rPr>
      </w:pPr>
      <w:r>
        <w:t>56.</w:t>
      </w:r>
      <w:r>
        <w:tab/>
      </w:r>
      <w:r>
        <w:t>講演者は、</w:t>
      </w:r>
      <w:r>
        <w:t>COVID-19</w:t>
      </w:r>
      <w:r>
        <w:t>のパンデミック中の混乱を防いだ</w:t>
      </w:r>
      <w:r>
        <w:t>ECE</w:t>
      </w:r>
      <w:r>
        <w:t>勧告</w:t>
      </w:r>
      <w:r>
        <w:t>No.36</w:t>
      </w:r>
      <w:r>
        <w:t>と</w:t>
      </w:r>
      <w:r>
        <w:t>No.37</w:t>
      </w:r>
      <w:r>
        <w:t>の役割を強調した。演説者は、国家貿易円滑化委員会のメンバーのための能力構築活動、</w:t>
      </w:r>
      <w:r>
        <w:t>GUAM</w:t>
      </w:r>
      <w:r>
        <w:t>民主主義・経済開発機構諸国の文書処理を迅速化するためのデータ量を含むデータパイプラインに関する研究の実施の重要性を強調した。講演者は、</w:t>
      </w:r>
      <w:r>
        <w:rPr>
          <w:bCs/>
        </w:rPr>
        <w:t>第</w:t>
      </w:r>
      <w:r>
        <w:rPr>
          <w:bCs/>
        </w:rPr>
        <w:t>28</w:t>
      </w:r>
      <w:r>
        <w:rPr>
          <w:bCs/>
        </w:rPr>
        <w:t>回目</w:t>
      </w:r>
      <w:r>
        <w:t>の</w:t>
      </w:r>
      <w:r w:rsidR="00042939">
        <w:t>UN/CEFACT</w:t>
      </w:r>
      <w:r>
        <w:t>総会に提出されるべき貿易回廊に関する</w:t>
      </w:r>
      <w:r>
        <w:t>2022</w:t>
      </w:r>
      <w:r>
        <w:t>年の簡単な研究と</w:t>
      </w:r>
      <w:r>
        <w:t>2023</w:t>
      </w:r>
      <w:r>
        <w:t>年のより大規模な研究の必要性を強調した。</w:t>
      </w:r>
    </w:p>
    <w:p w14:paraId="59AA6338" w14:textId="2E287F62" w:rsidR="002D4436" w:rsidRDefault="00970157" w:rsidP="006D096C">
      <w:pPr>
        <w:pStyle w:val="SingleTxtG"/>
        <w:ind w:leftChars="71" w:left="566" w:right="141" w:hangingChars="212" w:hanging="424"/>
      </w:pPr>
      <w:r>
        <w:t>57.</w:t>
      </w:r>
      <w:r>
        <w:tab/>
      </w:r>
      <w:r>
        <w:t>講演者は、認証情報</w:t>
      </w:r>
      <w:r>
        <w:t>/</w:t>
      </w:r>
      <w:r>
        <w:t>分散型識別子ベースのソリューションを検証する方法によって信頼を確立することの重要性を強調した。デジタルデータ交換や署名などの暗号化プロセスは、新しい技術とは程遠い。ドキュメント</w:t>
      </w:r>
      <w:r>
        <w:t>/</w:t>
      </w:r>
      <w:r>
        <w:t>取引、取引または交換の信頼性を真に検証するために、</w:t>
      </w:r>
      <w:r>
        <w:t>JSON-LD (json</w:t>
      </w:r>
      <w:r>
        <w:t>リンクデータ</w:t>
      </w:r>
      <w:r>
        <w:t xml:space="preserve">) </w:t>
      </w:r>
      <w:r>
        <w:t>などの先進技術を使用した信頼のデジタル化は、新しいデジタルグリーンの未来です。</w:t>
      </w:r>
      <w:r>
        <w:t>UN/CEFACT</w:t>
      </w:r>
      <w:r>
        <w:t>は、グローバルに調和され、定義され、明確に定義された意味論を提供する要素のライブラリを提供することによって、これに貢献している。</w:t>
      </w:r>
    </w:p>
    <w:p w14:paraId="2E648697" w14:textId="52FD80BC" w:rsidR="00A5381E" w:rsidRDefault="00970157" w:rsidP="006D096C">
      <w:pPr>
        <w:pStyle w:val="SingleTxtG"/>
        <w:ind w:leftChars="71" w:left="566" w:right="141" w:hangingChars="212" w:hanging="424"/>
      </w:pPr>
      <w:r>
        <w:t>58.</w:t>
      </w:r>
      <w:r>
        <w:tab/>
      </w:r>
      <w:r>
        <w:t>セッションの最後に、議長は専門家の貢献に感謝の意を表明し、</w:t>
      </w:r>
      <w:r>
        <w:t>UN/EDIFACT</w:t>
      </w:r>
      <w:r>
        <w:t>、国連貿易データ要素ディレクトリ</w:t>
      </w:r>
      <w:r>
        <w:t xml:space="preserve"> (UNTDED) </w:t>
      </w:r>
      <w:r>
        <w:t>、</w:t>
      </w:r>
      <w:r>
        <w:t>UN/LOCODE</w:t>
      </w:r>
      <w:r>
        <w:t>など、広く実施されている既存の成果物を支援する</w:t>
      </w:r>
      <w:r>
        <w:t>UN/CEFACT</w:t>
      </w:r>
      <w:r>
        <w:t>の重要性を強調した。</w:t>
      </w:r>
    </w:p>
    <w:p w14:paraId="025D5746" w14:textId="25C4EC00" w:rsidR="006B2177" w:rsidRPr="005A2AA7" w:rsidRDefault="00A5381E" w:rsidP="006D096C">
      <w:pPr>
        <w:pStyle w:val="SingleTxtG"/>
        <w:ind w:leftChars="71" w:left="566" w:right="141" w:hangingChars="212" w:hanging="424"/>
      </w:pPr>
      <w:r>
        <w:rPr>
          <w:bCs/>
        </w:rPr>
        <w:t>59.</w:t>
      </w:r>
      <w:r>
        <w:tab/>
      </w:r>
      <w:r>
        <w:rPr>
          <w:bCs/>
        </w:rPr>
        <w:t>事務局は、</w:t>
      </w:r>
      <w:r>
        <w:rPr>
          <w:bCs/>
        </w:rPr>
        <w:t>UN/CEFACT</w:t>
      </w:r>
      <w:r>
        <w:rPr>
          <w:bCs/>
        </w:rPr>
        <w:t>にとって重要な重要な日付を発表した。すなわち、</w:t>
      </w:r>
      <w:r w:rsidRPr="00DF7C46">
        <w:rPr>
          <w:bCs/>
          <w:highlight w:val="yellow"/>
        </w:rPr>
        <w:t>第</w:t>
      </w:r>
      <w:r w:rsidRPr="00DF7C46">
        <w:rPr>
          <w:bCs/>
          <w:highlight w:val="yellow"/>
        </w:rPr>
        <w:t>39</w:t>
      </w:r>
      <w:r w:rsidRPr="00DF7C46">
        <w:rPr>
          <w:bCs/>
          <w:highlight w:val="yellow"/>
        </w:rPr>
        <w:t>回目の</w:t>
      </w:r>
      <w:r w:rsidRPr="00DF7C46">
        <w:rPr>
          <w:bCs/>
          <w:highlight w:val="yellow"/>
        </w:rPr>
        <w:t>UN/CEFACT</w:t>
      </w:r>
      <w:r w:rsidRPr="00DF7C46">
        <w:rPr>
          <w:bCs/>
          <w:highlight w:val="yellow"/>
        </w:rPr>
        <w:t>フォーラムが</w:t>
      </w:r>
      <w:r w:rsidRPr="00DF7C46">
        <w:rPr>
          <w:bCs/>
          <w:highlight w:val="yellow"/>
        </w:rPr>
        <w:t>2022</w:t>
      </w:r>
      <w:r w:rsidRPr="00DF7C46">
        <w:rPr>
          <w:bCs/>
          <w:highlight w:val="yellow"/>
        </w:rPr>
        <w:t>年</w:t>
      </w:r>
      <w:r w:rsidRPr="00DF7C46">
        <w:rPr>
          <w:bCs/>
          <w:highlight w:val="yellow"/>
        </w:rPr>
        <w:t>12</w:t>
      </w:r>
      <w:r w:rsidRPr="00DF7C46">
        <w:rPr>
          <w:bCs/>
          <w:highlight w:val="yellow"/>
        </w:rPr>
        <w:t>月</w:t>
      </w:r>
      <w:r w:rsidRPr="00DF7C46">
        <w:rPr>
          <w:bCs/>
          <w:highlight w:val="yellow"/>
        </w:rPr>
        <w:t>6</w:t>
      </w:r>
      <w:r w:rsidRPr="00DF7C46">
        <w:rPr>
          <w:bCs/>
          <w:highlight w:val="yellow"/>
        </w:rPr>
        <w:t>日と</w:t>
      </w:r>
      <w:r w:rsidRPr="00DF7C46">
        <w:rPr>
          <w:bCs/>
          <w:highlight w:val="yellow"/>
        </w:rPr>
        <w:t>5</w:t>
      </w:r>
      <w:r w:rsidRPr="00DF7C46">
        <w:rPr>
          <w:bCs/>
          <w:highlight w:val="yellow"/>
        </w:rPr>
        <w:t>日に事実上開催される</w:t>
      </w:r>
      <w:r>
        <w:rPr>
          <w:bCs/>
        </w:rPr>
        <w:t>こと、第</w:t>
      </w:r>
      <w:r>
        <w:rPr>
          <w:bCs/>
        </w:rPr>
        <w:t>70</w:t>
      </w:r>
      <w:r>
        <w:rPr>
          <w:bCs/>
        </w:rPr>
        <w:t>回目の</w:t>
      </w:r>
      <w:r>
        <w:rPr>
          <w:bCs/>
        </w:rPr>
        <w:t>ECE</w:t>
      </w:r>
      <w:r>
        <w:rPr>
          <w:bCs/>
        </w:rPr>
        <w:t>委員会セッションが</w:t>
      </w:r>
      <w:r>
        <w:rPr>
          <w:bCs/>
        </w:rPr>
        <w:t>2023</w:t>
      </w:r>
      <w:r>
        <w:rPr>
          <w:bCs/>
        </w:rPr>
        <w:t>年</w:t>
      </w:r>
      <w:r>
        <w:rPr>
          <w:bCs/>
        </w:rPr>
        <w:t>4</w:t>
      </w:r>
      <w:r>
        <w:rPr>
          <w:bCs/>
        </w:rPr>
        <w:t>月に予定されていること、</w:t>
      </w:r>
      <w:r w:rsidRPr="00DF7C46">
        <w:rPr>
          <w:bCs/>
          <w:highlight w:val="yellow"/>
        </w:rPr>
        <w:t>第</w:t>
      </w:r>
      <w:r w:rsidRPr="00DF7C46">
        <w:rPr>
          <w:bCs/>
          <w:highlight w:val="yellow"/>
        </w:rPr>
        <w:t>40</w:t>
      </w:r>
      <w:r w:rsidRPr="00DF7C46">
        <w:rPr>
          <w:bCs/>
          <w:highlight w:val="yellow"/>
        </w:rPr>
        <w:t>回目の</w:t>
      </w:r>
      <w:r w:rsidRPr="00DF7C46">
        <w:rPr>
          <w:bCs/>
          <w:highlight w:val="yellow"/>
        </w:rPr>
        <w:t>UN/CEFACT</w:t>
      </w:r>
      <w:r w:rsidRPr="00DF7C46">
        <w:rPr>
          <w:bCs/>
          <w:highlight w:val="yellow"/>
        </w:rPr>
        <w:t>フォーラムが</w:t>
      </w:r>
      <w:r w:rsidRPr="00DF7C46">
        <w:rPr>
          <w:bCs/>
          <w:highlight w:val="yellow"/>
        </w:rPr>
        <w:t>2023</w:t>
      </w:r>
      <w:r w:rsidRPr="00DF7C46">
        <w:rPr>
          <w:bCs/>
          <w:highlight w:val="yellow"/>
        </w:rPr>
        <w:t>年</w:t>
      </w:r>
      <w:r w:rsidRPr="00DF7C46">
        <w:rPr>
          <w:bCs/>
          <w:highlight w:val="yellow"/>
        </w:rPr>
        <w:t>5</w:t>
      </w:r>
      <w:r w:rsidRPr="00DF7C46">
        <w:rPr>
          <w:bCs/>
          <w:highlight w:val="yellow"/>
        </w:rPr>
        <w:t>月</w:t>
      </w:r>
      <w:r w:rsidRPr="00DF7C46">
        <w:rPr>
          <w:bCs/>
          <w:highlight w:val="yellow"/>
        </w:rPr>
        <w:t>8</w:t>
      </w:r>
      <w:r w:rsidRPr="00DF7C46">
        <w:rPr>
          <w:bCs/>
          <w:highlight w:val="yellow"/>
        </w:rPr>
        <w:t>日から</w:t>
      </w:r>
      <w:r w:rsidRPr="00DF7C46">
        <w:rPr>
          <w:bCs/>
          <w:highlight w:val="yellow"/>
        </w:rPr>
        <w:t>12</w:t>
      </w:r>
      <w:r w:rsidRPr="00DF7C46">
        <w:rPr>
          <w:bCs/>
          <w:highlight w:val="yellow"/>
        </w:rPr>
        <w:t>日に予定されている</w:t>
      </w:r>
      <w:r>
        <w:rPr>
          <w:bCs/>
        </w:rPr>
        <w:t>こと、そして</w:t>
      </w:r>
      <w:r w:rsidRPr="00DF7C46">
        <w:rPr>
          <w:bCs/>
          <w:highlight w:val="yellow"/>
        </w:rPr>
        <w:t>第</w:t>
      </w:r>
      <w:r w:rsidRPr="00DF7C46">
        <w:rPr>
          <w:bCs/>
          <w:highlight w:val="yellow"/>
        </w:rPr>
        <w:t>29</w:t>
      </w:r>
      <w:r w:rsidRPr="00DF7C46">
        <w:rPr>
          <w:bCs/>
          <w:highlight w:val="yellow"/>
        </w:rPr>
        <w:t>回目の</w:t>
      </w:r>
      <w:r w:rsidRPr="00DF7C46">
        <w:rPr>
          <w:bCs/>
          <w:highlight w:val="yellow"/>
        </w:rPr>
        <w:t>UN/CEFACT</w:t>
      </w:r>
      <w:r w:rsidRPr="00DF7C46">
        <w:rPr>
          <w:bCs/>
          <w:highlight w:val="yellow"/>
        </w:rPr>
        <w:t>本会議が</w:t>
      </w:r>
      <w:r w:rsidRPr="00DF7C46">
        <w:rPr>
          <w:bCs/>
          <w:highlight w:val="yellow"/>
        </w:rPr>
        <w:t>2023</w:t>
      </w:r>
      <w:r w:rsidRPr="00DF7C46">
        <w:rPr>
          <w:bCs/>
          <w:highlight w:val="yellow"/>
        </w:rPr>
        <w:t>年</w:t>
      </w:r>
      <w:r w:rsidRPr="00DF7C46">
        <w:rPr>
          <w:bCs/>
          <w:highlight w:val="yellow"/>
        </w:rPr>
        <w:t>11</w:t>
      </w:r>
      <w:r w:rsidRPr="00DF7C46">
        <w:rPr>
          <w:bCs/>
          <w:highlight w:val="yellow"/>
        </w:rPr>
        <w:t>月</w:t>
      </w:r>
      <w:r w:rsidR="006C2029" w:rsidRPr="00DF7C46">
        <w:rPr>
          <w:rFonts w:hint="eastAsia"/>
          <w:bCs/>
          <w:highlight w:val="yellow"/>
          <w:lang w:eastAsia="ja-JP"/>
        </w:rPr>
        <w:t>22</w:t>
      </w:r>
      <w:r w:rsidR="006C2029" w:rsidRPr="00DF7C46">
        <w:rPr>
          <w:rFonts w:hint="eastAsia"/>
          <w:bCs/>
          <w:highlight w:val="yellow"/>
          <w:lang w:eastAsia="ja-JP"/>
        </w:rPr>
        <w:t>日・</w:t>
      </w:r>
      <w:r w:rsidRPr="00DF7C46">
        <w:rPr>
          <w:bCs/>
          <w:highlight w:val="yellow"/>
        </w:rPr>
        <w:t>23</w:t>
      </w:r>
      <w:r w:rsidRPr="00DF7C46">
        <w:rPr>
          <w:bCs/>
          <w:highlight w:val="yellow"/>
        </w:rPr>
        <w:t>日に予定されている</w:t>
      </w:r>
      <w:r>
        <w:rPr>
          <w:bCs/>
        </w:rPr>
        <w:t>こと</w:t>
      </w:r>
      <w:r>
        <w:t>である。</w:t>
      </w:r>
      <w:r>
        <w:rPr>
          <w:bCs/>
        </w:rPr>
        <w:t>さらに、</w:t>
      </w:r>
      <w:r>
        <w:rPr>
          <w:bCs/>
        </w:rPr>
        <w:t>2023</w:t>
      </w:r>
      <w:r>
        <w:rPr>
          <w:bCs/>
        </w:rPr>
        <w:t>年</w:t>
      </w:r>
      <w:r>
        <w:rPr>
          <w:bCs/>
        </w:rPr>
        <w:t>1</w:t>
      </w:r>
      <w:r>
        <w:rPr>
          <w:bCs/>
        </w:rPr>
        <w:t>月からすべてのセッションを対面で行う予定であると発表した。</w:t>
      </w:r>
      <w:r w:rsidR="00DF7C46" w:rsidRPr="00E065BC">
        <w:rPr>
          <w:b/>
          <w:bCs/>
          <w:color w:val="FF0000"/>
          <w:lang w:eastAsia="ja-JP"/>
        </w:rPr>
        <w:sym w:font="Wingdings" w:char="F0E8"/>
      </w:r>
      <w:r w:rsidR="00DF7C46" w:rsidRPr="00E065BC">
        <w:rPr>
          <w:rFonts w:hint="eastAsia"/>
          <w:b/>
          <w:bCs/>
          <w:color w:val="FF0000"/>
          <w:lang w:eastAsia="ja-JP"/>
        </w:rPr>
        <w:t>添付</w:t>
      </w:r>
      <w:r w:rsidR="00DF7C46">
        <w:rPr>
          <w:rFonts w:hint="eastAsia"/>
          <w:b/>
          <w:bCs/>
          <w:color w:val="FF0000"/>
          <w:lang w:eastAsia="ja-JP"/>
        </w:rPr>
        <w:t>③</w:t>
      </w:r>
    </w:p>
    <w:p w14:paraId="78AD2EA9" w14:textId="7940F3EF" w:rsidR="002D4436" w:rsidRPr="00263901" w:rsidRDefault="002D4436" w:rsidP="003F7843">
      <w:pPr>
        <w:pStyle w:val="HChG"/>
        <w:ind w:leftChars="-14" w:left="568" w:right="141" w:hangingChars="212" w:hanging="596"/>
      </w:pPr>
      <w:r>
        <w:t>XVIII</w:t>
      </w:r>
      <w:r w:rsidR="003F7843">
        <w:t>.</w:t>
      </w:r>
      <w:r w:rsidR="00885F24">
        <w:rPr>
          <w:rFonts w:hint="eastAsia"/>
          <w:lang w:eastAsia="ja-JP"/>
        </w:rPr>
        <w:t xml:space="preserve"> </w:t>
      </w:r>
      <w:r w:rsidR="003F7843">
        <w:rPr>
          <w:lang w:eastAsia="ja-JP"/>
        </w:rPr>
        <w:t>Other business (agenda item 11)</w:t>
      </w:r>
      <w:r>
        <w:tab/>
      </w:r>
      <w:r w:rsidRPr="003F7843">
        <w:rPr>
          <w:sz w:val="22"/>
          <w:szCs w:val="22"/>
        </w:rPr>
        <w:t>その他</w:t>
      </w:r>
    </w:p>
    <w:p w14:paraId="26E40900" w14:textId="58386024" w:rsidR="002D4436" w:rsidRPr="002D4436" w:rsidRDefault="00350D3B" w:rsidP="006D096C">
      <w:pPr>
        <w:pStyle w:val="SingleTxtG"/>
        <w:ind w:leftChars="71" w:left="566" w:right="141" w:hangingChars="212" w:hanging="424"/>
      </w:pPr>
      <w:r>
        <w:t>60.</w:t>
      </w:r>
      <w:r>
        <w:tab/>
      </w:r>
      <w:r>
        <w:t>その他のビジネスポイントは挙げられなかった。</w:t>
      </w:r>
    </w:p>
    <w:p w14:paraId="153A055E" w14:textId="3A92417F" w:rsidR="002D4436" w:rsidRPr="003F7843" w:rsidRDefault="002D4436" w:rsidP="003F7843">
      <w:pPr>
        <w:pStyle w:val="HChG"/>
        <w:ind w:leftChars="-14" w:left="568" w:right="141" w:hangingChars="212" w:hanging="596"/>
        <w:rPr>
          <w:sz w:val="22"/>
          <w:szCs w:val="22"/>
        </w:rPr>
      </w:pPr>
      <w:r>
        <w:t>XIX</w:t>
      </w:r>
      <w:r w:rsidR="003F7843">
        <w:rPr>
          <w:rFonts w:hint="eastAsia"/>
          <w:lang w:eastAsia="ja-JP"/>
        </w:rPr>
        <w:t>.</w:t>
      </w:r>
      <w:r w:rsidR="003F7843">
        <w:rPr>
          <w:lang w:eastAsia="ja-JP"/>
        </w:rPr>
        <w:t xml:space="preserve"> Adoption of decisions and draft report of the twenty-eighth session (agenda item 12)</w:t>
      </w:r>
      <w:r>
        <w:tab/>
      </w:r>
      <w:r w:rsidRPr="003F7843">
        <w:rPr>
          <w:sz w:val="22"/>
          <w:szCs w:val="22"/>
        </w:rPr>
        <w:t>第</w:t>
      </w:r>
      <w:r w:rsidRPr="003F7843">
        <w:rPr>
          <w:sz w:val="22"/>
          <w:szCs w:val="22"/>
        </w:rPr>
        <w:t>28</w:t>
      </w:r>
      <w:r w:rsidRPr="003F7843">
        <w:rPr>
          <w:sz w:val="22"/>
          <w:szCs w:val="22"/>
        </w:rPr>
        <w:t>回</w:t>
      </w:r>
      <w:r w:rsidR="003F7843" w:rsidRPr="003F7843">
        <w:rPr>
          <w:rFonts w:hint="eastAsia"/>
          <w:sz w:val="22"/>
          <w:szCs w:val="22"/>
          <w:lang w:eastAsia="ja-JP"/>
        </w:rPr>
        <w:t>総会</w:t>
      </w:r>
      <w:r w:rsidRPr="003F7843">
        <w:rPr>
          <w:sz w:val="22"/>
          <w:szCs w:val="22"/>
        </w:rPr>
        <w:t>の決定</w:t>
      </w:r>
      <w:r w:rsidR="003F7843">
        <w:rPr>
          <w:rFonts w:hint="eastAsia"/>
          <w:sz w:val="22"/>
          <w:szCs w:val="22"/>
          <w:lang w:eastAsia="ja-JP"/>
        </w:rPr>
        <w:t>の採択と</w:t>
      </w:r>
      <w:r w:rsidRPr="003F7843">
        <w:rPr>
          <w:sz w:val="22"/>
          <w:szCs w:val="22"/>
        </w:rPr>
        <w:t>報告書</w:t>
      </w:r>
      <w:r w:rsidR="003F7843">
        <w:rPr>
          <w:rFonts w:hint="eastAsia"/>
          <w:sz w:val="22"/>
          <w:szCs w:val="22"/>
          <w:lang w:eastAsia="ja-JP"/>
        </w:rPr>
        <w:t>（議事録）案</w:t>
      </w:r>
    </w:p>
    <w:p w14:paraId="11C9896E" w14:textId="4B4F06B7" w:rsidR="00B77AE6" w:rsidRPr="00B77AE6" w:rsidRDefault="00350D3B" w:rsidP="006D096C">
      <w:pPr>
        <w:pStyle w:val="SingleTxtG"/>
        <w:ind w:leftChars="71" w:left="566" w:right="141" w:hangingChars="212" w:hanging="424"/>
        <w:rPr>
          <w:bCs/>
        </w:rPr>
      </w:pPr>
      <w:r>
        <w:rPr>
          <w:bCs/>
        </w:rPr>
        <w:t>61.</w:t>
      </w:r>
      <w:r>
        <w:tab/>
      </w:r>
      <w:r>
        <w:rPr>
          <w:bCs/>
        </w:rPr>
        <w:t>確立された慣行に従い、事務局はこのセッションで行われた決定を読み上げ、本会議はその承認を確認した。</w:t>
      </w:r>
    </w:p>
    <w:p w14:paraId="501F8AD7" w14:textId="6000012A" w:rsidR="00873134" w:rsidRDefault="002D4436" w:rsidP="006D096C">
      <w:pPr>
        <w:pStyle w:val="SingleTxtG"/>
        <w:ind w:leftChars="71" w:left="568" w:right="141" w:hangingChars="212" w:hanging="426"/>
      </w:pPr>
      <w:r>
        <w:rPr>
          <w:b/>
        </w:rPr>
        <w:t>本会議決定</w:t>
      </w:r>
      <w:r>
        <w:rPr>
          <w:b/>
        </w:rPr>
        <w:t>22-22:</w:t>
      </w:r>
      <w:r>
        <w:t>本会議は、貿易円滑化・電子ビジネスセンター</w:t>
      </w:r>
      <w:r>
        <w:t xml:space="preserve"> (UN/CEFACT) </w:t>
      </w:r>
      <w:r>
        <w:t>の第</w:t>
      </w:r>
      <w:r>
        <w:t>28</w:t>
      </w:r>
      <w:r>
        <w:t>回</w:t>
      </w:r>
      <w:r w:rsidR="003F7843">
        <w:rPr>
          <w:rFonts w:hint="eastAsia"/>
          <w:lang w:eastAsia="ja-JP"/>
        </w:rPr>
        <w:t>総会</w:t>
      </w:r>
      <w:r>
        <w:t>における報告書</w:t>
      </w:r>
      <w:r w:rsidR="003F7843">
        <w:rPr>
          <w:rFonts w:hint="eastAsia"/>
          <w:lang w:eastAsia="ja-JP"/>
        </w:rPr>
        <w:t>（議事録）</w:t>
      </w:r>
      <w:r>
        <w:t>、文書</w:t>
      </w:r>
      <w:r>
        <w:t>ECE/TRADE/C/CEFACT/2022/2</w:t>
      </w:r>
      <w:r>
        <w:t>を承認した。この文書は、</w:t>
      </w:r>
      <w:r>
        <w:t>ECE</w:t>
      </w:r>
      <w:r>
        <w:t>執行委員会の決定</w:t>
      </w:r>
      <w:r>
        <w:t xml:space="preserve"> (ECE/EX/2020/L.12) </w:t>
      </w:r>
      <w:r>
        <w:t>に従って、加盟国代表の技術的接続が困難な場合に沈黙手続の対象となる。</w:t>
      </w:r>
    </w:p>
    <w:p w14:paraId="7B39865D" w14:textId="4E8C0984" w:rsidR="00E065BC" w:rsidRDefault="00E065BC">
      <w:pPr>
        <w:suppressAutoHyphens w:val="0"/>
        <w:spacing w:line="240" w:lineRule="auto"/>
        <w:rPr>
          <w:b/>
        </w:rPr>
      </w:pPr>
      <w:r>
        <w:rPr>
          <w:b/>
        </w:rPr>
        <w:br w:type="page"/>
      </w:r>
    </w:p>
    <w:p w14:paraId="6D55F207" w14:textId="598B2A54" w:rsidR="00E065BC" w:rsidRDefault="00E065BC" w:rsidP="006D096C">
      <w:pPr>
        <w:pStyle w:val="SingleTxtG"/>
        <w:ind w:leftChars="71" w:left="568" w:right="141" w:hangingChars="212" w:hanging="426"/>
        <w:rPr>
          <w:b/>
          <w:bCs/>
          <w:color w:val="FF0000"/>
          <w:lang w:eastAsia="ja-JP"/>
        </w:rPr>
      </w:pPr>
      <w:r w:rsidRPr="00E065BC">
        <w:rPr>
          <w:rFonts w:hint="eastAsia"/>
          <w:b/>
          <w:bCs/>
          <w:color w:val="FF0000"/>
          <w:lang w:eastAsia="ja-JP"/>
        </w:rPr>
        <w:lastRenderedPageBreak/>
        <w:t>添付①</w:t>
      </w:r>
    </w:p>
    <w:p w14:paraId="4AE3C4A3" w14:textId="4D5C2ACF" w:rsidR="000478E6" w:rsidRDefault="000478E6" w:rsidP="006D096C">
      <w:pPr>
        <w:pStyle w:val="SingleTxtG"/>
        <w:ind w:leftChars="71" w:left="566" w:right="141" w:hangingChars="212" w:hanging="424"/>
        <w:rPr>
          <w:color w:val="FF0000"/>
        </w:rPr>
      </w:pPr>
      <w:r w:rsidRPr="000478E6">
        <w:rPr>
          <w:rFonts w:hint="eastAsia"/>
          <w:noProof/>
        </w:rPr>
        <w:drawing>
          <wp:inline distT="0" distB="0" distL="0" distR="0" wp14:anchorId="4FDA571C" wp14:editId="57CD5F44">
            <wp:extent cx="6096000" cy="34290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096000" cy="3429000"/>
                    </a:xfrm>
                    <a:prstGeom prst="rect">
                      <a:avLst/>
                    </a:prstGeom>
                    <a:noFill/>
                    <a:ln>
                      <a:noFill/>
                    </a:ln>
                  </pic:spPr>
                </pic:pic>
              </a:graphicData>
            </a:graphic>
          </wp:inline>
        </w:drawing>
      </w:r>
    </w:p>
    <w:p w14:paraId="63E313D9" w14:textId="197D6512" w:rsidR="000478E6" w:rsidRDefault="000478E6" w:rsidP="006D096C">
      <w:pPr>
        <w:pStyle w:val="SingleTxtG"/>
        <w:ind w:leftChars="71" w:left="566" w:right="141" w:hangingChars="212" w:hanging="424"/>
        <w:rPr>
          <w:color w:val="FF0000"/>
        </w:rPr>
      </w:pPr>
    </w:p>
    <w:p w14:paraId="7A9B12F7" w14:textId="2A338D1C" w:rsidR="000478E6" w:rsidRDefault="000478E6" w:rsidP="006D096C">
      <w:pPr>
        <w:pStyle w:val="SingleTxtG"/>
        <w:ind w:leftChars="71" w:left="566" w:right="141" w:hangingChars="212" w:hanging="424"/>
        <w:rPr>
          <w:color w:val="FF0000"/>
        </w:rPr>
      </w:pPr>
    </w:p>
    <w:p w14:paraId="16B93CEC" w14:textId="349B2EC0" w:rsidR="000478E6" w:rsidRDefault="000478E6" w:rsidP="006D096C">
      <w:pPr>
        <w:pStyle w:val="SingleTxtG"/>
        <w:ind w:leftChars="71" w:left="566" w:right="141" w:hangingChars="212" w:hanging="424"/>
        <w:rPr>
          <w:color w:val="FF0000"/>
        </w:rPr>
      </w:pPr>
      <w:r w:rsidRPr="000478E6">
        <w:rPr>
          <w:rFonts w:hint="eastAsia"/>
          <w:noProof/>
        </w:rPr>
        <w:drawing>
          <wp:inline distT="0" distB="0" distL="0" distR="0" wp14:anchorId="0B358BCD" wp14:editId="494082A6">
            <wp:extent cx="6096000" cy="342900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096000" cy="3429000"/>
                    </a:xfrm>
                    <a:prstGeom prst="rect">
                      <a:avLst/>
                    </a:prstGeom>
                    <a:noFill/>
                    <a:ln>
                      <a:noFill/>
                    </a:ln>
                  </pic:spPr>
                </pic:pic>
              </a:graphicData>
            </a:graphic>
          </wp:inline>
        </w:drawing>
      </w:r>
    </w:p>
    <w:p w14:paraId="405D4B66" w14:textId="57B24337" w:rsidR="000C5871" w:rsidRDefault="000C5871">
      <w:pPr>
        <w:suppressAutoHyphens w:val="0"/>
        <w:spacing w:line="240" w:lineRule="auto"/>
        <w:rPr>
          <w:color w:val="FF0000"/>
        </w:rPr>
      </w:pPr>
      <w:r>
        <w:rPr>
          <w:color w:val="FF0000"/>
        </w:rPr>
        <w:br w:type="page"/>
      </w:r>
    </w:p>
    <w:p w14:paraId="6CC985E5" w14:textId="4EC8A3A0" w:rsidR="000478E6" w:rsidRDefault="000C5871" w:rsidP="006D096C">
      <w:pPr>
        <w:pStyle w:val="SingleTxtG"/>
        <w:ind w:leftChars="71" w:left="566" w:right="141" w:hangingChars="212" w:hanging="424"/>
        <w:rPr>
          <w:color w:val="FF0000"/>
        </w:rPr>
      </w:pPr>
      <w:r w:rsidRPr="000C5871">
        <w:rPr>
          <w:noProof/>
        </w:rPr>
        <w:lastRenderedPageBreak/>
        <w:drawing>
          <wp:inline distT="0" distB="0" distL="0" distR="0" wp14:anchorId="5ACADAAB" wp14:editId="7E6DA10E">
            <wp:extent cx="6096000" cy="3429000"/>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96000" cy="3429000"/>
                    </a:xfrm>
                    <a:prstGeom prst="rect">
                      <a:avLst/>
                    </a:prstGeom>
                    <a:noFill/>
                    <a:ln>
                      <a:noFill/>
                    </a:ln>
                  </pic:spPr>
                </pic:pic>
              </a:graphicData>
            </a:graphic>
          </wp:inline>
        </w:drawing>
      </w:r>
    </w:p>
    <w:p w14:paraId="008DFA4E" w14:textId="61C843F9" w:rsidR="000478E6" w:rsidRDefault="000478E6">
      <w:pPr>
        <w:suppressAutoHyphens w:val="0"/>
        <w:spacing w:line="240" w:lineRule="auto"/>
        <w:rPr>
          <w:color w:val="FF0000"/>
        </w:rPr>
      </w:pPr>
      <w:r>
        <w:rPr>
          <w:color w:val="FF0000"/>
        </w:rPr>
        <w:br w:type="page"/>
      </w:r>
    </w:p>
    <w:p w14:paraId="5AE485CB" w14:textId="292955D6" w:rsidR="000478E6" w:rsidRDefault="000478E6" w:rsidP="006D096C">
      <w:pPr>
        <w:pStyle w:val="SingleTxtG"/>
        <w:ind w:leftChars="71" w:left="568" w:right="141" w:hangingChars="212" w:hanging="426"/>
        <w:rPr>
          <w:b/>
          <w:bCs/>
          <w:color w:val="FF0000"/>
          <w:lang w:eastAsia="ja-JP"/>
        </w:rPr>
      </w:pPr>
      <w:r w:rsidRPr="000478E6">
        <w:rPr>
          <w:rFonts w:hint="eastAsia"/>
          <w:b/>
          <w:bCs/>
          <w:color w:val="FF0000"/>
          <w:lang w:eastAsia="ja-JP"/>
        </w:rPr>
        <w:lastRenderedPageBreak/>
        <w:t>添付②</w:t>
      </w:r>
    </w:p>
    <w:p w14:paraId="31CEB714" w14:textId="7EDB53D9" w:rsidR="000478E6" w:rsidRDefault="000478E6" w:rsidP="006D096C">
      <w:pPr>
        <w:pStyle w:val="SingleTxtG"/>
        <w:ind w:leftChars="71" w:left="566" w:right="141" w:hangingChars="212" w:hanging="424"/>
        <w:rPr>
          <w:color w:val="FF0000"/>
        </w:rPr>
      </w:pPr>
      <w:r w:rsidRPr="000478E6">
        <w:rPr>
          <w:rFonts w:hint="eastAsia"/>
          <w:noProof/>
        </w:rPr>
        <w:drawing>
          <wp:inline distT="0" distB="0" distL="0" distR="0" wp14:anchorId="7D4D74FC" wp14:editId="2A4D1D11">
            <wp:extent cx="6096000" cy="3429000"/>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96000" cy="3429000"/>
                    </a:xfrm>
                    <a:prstGeom prst="rect">
                      <a:avLst/>
                    </a:prstGeom>
                    <a:noFill/>
                    <a:ln>
                      <a:noFill/>
                    </a:ln>
                  </pic:spPr>
                </pic:pic>
              </a:graphicData>
            </a:graphic>
          </wp:inline>
        </w:drawing>
      </w:r>
    </w:p>
    <w:p w14:paraId="3F2CAD89" w14:textId="300A246E" w:rsidR="000478E6" w:rsidRDefault="000478E6" w:rsidP="006D096C">
      <w:pPr>
        <w:pStyle w:val="SingleTxtG"/>
        <w:ind w:leftChars="71" w:left="566" w:right="141" w:hangingChars="212" w:hanging="424"/>
        <w:rPr>
          <w:color w:val="FF0000"/>
        </w:rPr>
      </w:pPr>
    </w:p>
    <w:p w14:paraId="10246AA1" w14:textId="601B4DB8" w:rsidR="000478E6" w:rsidRDefault="000478E6" w:rsidP="006D096C">
      <w:pPr>
        <w:pStyle w:val="SingleTxtG"/>
        <w:ind w:leftChars="71" w:left="566" w:right="141" w:hangingChars="212" w:hanging="424"/>
        <w:rPr>
          <w:color w:val="FF0000"/>
        </w:rPr>
      </w:pPr>
    </w:p>
    <w:p w14:paraId="128184A2" w14:textId="4AB39AC3" w:rsidR="000478E6" w:rsidRDefault="000C5871" w:rsidP="006D096C">
      <w:pPr>
        <w:pStyle w:val="SingleTxtG"/>
        <w:ind w:leftChars="71" w:left="566" w:right="141" w:hangingChars="212" w:hanging="424"/>
        <w:rPr>
          <w:color w:val="FF0000"/>
        </w:rPr>
      </w:pPr>
      <w:r w:rsidRPr="000C5871">
        <w:rPr>
          <w:rFonts w:hint="eastAsia"/>
          <w:noProof/>
        </w:rPr>
        <w:drawing>
          <wp:inline distT="0" distB="0" distL="0" distR="0" wp14:anchorId="1EB037D0" wp14:editId="2080B554">
            <wp:extent cx="6096000" cy="342900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096000" cy="3429000"/>
                    </a:xfrm>
                    <a:prstGeom prst="rect">
                      <a:avLst/>
                    </a:prstGeom>
                    <a:noFill/>
                    <a:ln>
                      <a:noFill/>
                    </a:ln>
                  </pic:spPr>
                </pic:pic>
              </a:graphicData>
            </a:graphic>
          </wp:inline>
        </w:drawing>
      </w:r>
    </w:p>
    <w:p w14:paraId="6745128A" w14:textId="5FE520F5" w:rsidR="000C5871" w:rsidRDefault="000C5871" w:rsidP="006D096C">
      <w:pPr>
        <w:pStyle w:val="SingleTxtG"/>
        <w:ind w:leftChars="71" w:left="566" w:right="141" w:hangingChars="212" w:hanging="424"/>
        <w:rPr>
          <w:color w:val="FF0000"/>
        </w:rPr>
      </w:pPr>
    </w:p>
    <w:p w14:paraId="742E3543" w14:textId="2BBE3883" w:rsidR="000C5871" w:rsidRDefault="000C5871">
      <w:pPr>
        <w:suppressAutoHyphens w:val="0"/>
        <w:spacing w:line="240" w:lineRule="auto"/>
        <w:rPr>
          <w:color w:val="FF0000"/>
        </w:rPr>
      </w:pPr>
      <w:r>
        <w:rPr>
          <w:color w:val="FF0000"/>
        </w:rPr>
        <w:br w:type="page"/>
      </w:r>
    </w:p>
    <w:p w14:paraId="3B8AC618" w14:textId="5AF72E26" w:rsidR="000C5871" w:rsidRPr="000478E6" w:rsidRDefault="000C5871" w:rsidP="006D096C">
      <w:pPr>
        <w:pStyle w:val="SingleTxtG"/>
        <w:ind w:leftChars="71" w:left="566" w:right="141" w:hangingChars="212" w:hanging="424"/>
        <w:rPr>
          <w:color w:val="FF0000"/>
        </w:rPr>
      </w:pPr>
      <w:r w:rsidRPr="000C5871">
        <w:rPr>
          <w:rFonts w:hint="eastAsia"/>
          <w:noProof/>
        </w:rPr>
        <w:lastRenderedPageBreak/>
        <w:drawing>
          <wp:inline distT="0" distB="0" distL="0" distR="0" wp14:anchorId="6E3EE6F7" wp14:editId="07C63BF7">
            <wp:extent cx="6096000" cy="3429000"/>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096000" cy="3429000"/>
                    </a:xfrm>
                    <a:prstGeom prst="rect">
                      <a:avLst/>
                    </a:prstGeom>
                    <a:noFill/>
                    <a:ln>
                      <a:noFill/>
                    </a:ln>
                  </pic:spPr>
                </pic:pic>
              </a:graphicData>
            </a:graphic>
          </wp:inline>
        </w:drawing>
      </w:r>
    </w:p>
    <w:p w14:paraId="2EE35833" w14:textId="2A47461F" w:rsidR="00DF7C46" w:rsidRDefault="002D4436" w:rsidP="002D4436">
      <w:pPr>
        <w:spacing w:before="240"/>
        <w:jc w:val="center"/>
      </w:pPr>
      <w:r>
        <w:tab/>
      </w:r>
      <w:r>
        <w:tab/>
      </w:r>
      <w:r>
        <w:tab/>
      </w:r>
    </w:p>
    <w:p w14:paraId="0B59E011" w14:textId="77777777" w:rsidR="00DF7C46" w:rsidRDefault="00DF7C46">
      <w:pPr>
        <w:suppressAutoHyphens w:val="0"/>
        <w:spacing w:line="240" w:lineRule="auto"/>
      </w:pPr>
      <w:r>
        <w:br w:type="page"/>
      </w:r>
    </w:p>
    <w:p w14:paraId="74DBAB4B" w14:textId="7A4DF98A" w:rsidR="00031677" w:rsidRDefault="00DF7C46" w:rsidP="00DF7C46">
      <w:pPr>
        <w:spacing w:before="240"/>
        <w:rPr>
          <w:b/>
          <w:bCs/>
          <w:color w:val="FF0000"/>
          <w:lang w:eastAsia="ja-JP"/>
        </w:rPr>
      </w:pPr>
      <w:r w:rsidRPr="00E065BC">
        <w:rPr>
          <w:rFonts w:hint="eastAsia"/>
          <w:b/>
          <w:bCs/>
          <w:color w:val="FF0000"/>
          <w:lang w:eastAsia="ja-JP"/>
        </w:rPr>
        <w:lastRenderedPageBreak/>
        <w:t>添付</w:t>
      </w:r>
      <w:r>
        <w:rPr>
          <w:rFonts w:hint="eastAsia"/>
          <w:b/>
          <w:bCs/>
          <w:color w:val="FF0000"/>
          <w:lang w:eastAsia="ja-JP"/>
        </w:rPr>
        <w:t>③</w:t>
      </w:r>
    </w:p>
    <w:p w14:paraId="4B07517F" w14:textId="77777777" w:rsidR="00DF7C46" w:rsidRDefault="00DF7C46" w:rsidP="00DF7C46">
      <w:pPr>
        <w:pStyle w:val="af7"/>
        <w:ind w:left="0"/>
        <w:rPr>
          <w:rFonts w:ascii="Calibri" w:hAnsi="Calibri" w:cs="Calibri"/>
          <w:color w:val="000000" w:themeColor="text1"/>
          <w:lang w:val="en-US"/>
        </w:rPr>
      </w:pPr>
    </w:p>
    <w:p w14:paraId="72CE5CAF" w14:textId="77777777" w:rsidR="00DF7C46" w:rsidRPr="00133AA6" w:rsidRDefault="00DF7C46" w:rsidP="00DF7C46">
      <w:pPr>
        <w:pStyle w:val="1"/>
        <w:jc w:val="center"/>
        <w:rPr>
          <w:sz w:val="32"/>
          <w:lang w:val="en-US"/>
        </w:rPr>
      </w:pPr>
      <w:r w:rsidRPr="00133AA6">
        <w:rPr>
          <w:sz w:val="32"/>
          <w:lang w:val="en-US"/>
        </w:rPr>
        <w:t xml:space="preserve">The 39th UN/CEFACT Forum </w:t>
      </w:r>
    </w:p>
    <w:p w14:paraId="71C6A6D3" w14:textId="77777777" w:rsidR="00DF7C46" w:rsidRPr="00133AA6" w:rsidRDefault="00DF7C46" w:rsidP="00DF7C46">
      <w:pPr>
        <w:pStyle w:val="1"/>
        <w:jc w:val="center"/>
        <w:rPr>
          <w:sz w:val="32"/>
          <w:lang w:val="en-US"/>
        </w:rPr>
      </w:pPr>
      <w:r>
        <w:rPr>
          <w:sz w:val="32"/>
          <w:lang w:val="en-US"/>
        </w:rPr>
        <w:t>Agenda</w:t>
      </w:r>
    </w:p>
    <w:tbl>
      <w:tblPr>
        <w:tblStyle w:val="4-1"/>
        <w:tblW w:w="0" w:type="auto"/>
        <w:tblInd w:w="137" w:type="dxa"/>
        <w:tblLook w:val="04A0" w:firstRow="1" w:lastRow="0" w:firstColumn="1" w:lastColumn="0" w:noHBand="0" w:noVBand="1"/>
      </w:tblPr>
      <w:tblGrid>
        <w:gridCol w:w="4619"/>
        <w:gridCol w:w="4873"/>
      </w:tblGrid>
      <w:tr w:rsidR="00DF7C46" w14:paraId="3611AC42" w14:textId="77777777" w:rsidTr="003B1615">
        <w:trPr>
          <w:cnfStyle w:val="100000000000" w:firstRow="1" w:lastRow="0" w:firstColumn="0" w:lastColumn="0" w:oddVBand="0" w:evenVBand="0" w:oddHBand="0" w:evenHBand="0" w:firstRowFirstColumn="0" w:firstRowLastColumn="0" w:lastRowFirstColumn="0" w:lastRowLastColumn="0"/>
          <w:trHeight w:val="550"/>
        </w:trPr>
        <w:tc>
          <w:tcPr>
            <w:cnfStyle w:val="001000000000" w:firstRow="0" w:lastRow="0" w:firstColumn="1" w:lastColumn="0" w:oddVBand="0" w:evenVBand="0" w:oddHBand="0" w:evenHBand="0" w:firstRowFirstColumn="0" w:firstRowLastColumn="0" w:lastRowFirstColumn="0" w:lastRowLastColumn="0"/>
            <w:tcW w:w="4961" w:type="dxa"/>
          </w:tcPr>
          <w:p w14:paraId="6CFAD33A" w14:textId="77777777" w:rsidR="00DF7C46" w:rsidRPr="001F56D7" w:rsidRDefault="00DF7C46" w:rsidP="003B1615">
            <w:pPr>
              <w:spacing w:after="120"/>
              <w:ind w:right="-23"/>
              <w:jc w:val="center"/>
              <w:rPr>
                <w:b w:val="0"/>
                <w:color w:val="auto"/>
                <w:sz w:val="28"/>
              </w:rPr>
            </w:pPr>
            <w:r w:rsidRPr="001F56D7">
              <w:rPr>
                <w:color w:val="auto"/>
                <w:sz w:val="28"/>
              </w:rPr>
              <w:t>Day 1</w:t>
            </w:r>
          </w:p>
          <w:p w14:paraId="6D864B88" w14:textId="77777777" w:rsidR="00DF7C46" w:rsidRPr="001F56D7" w:rsidRDefault="00DF7C46" w:rsidP="003B1615">
            <w:pPr>
              <w:spacing w:after="120"/>
              <w:ind w:right="-23"/>
              <w:jc w:val="center"/>
              <w:rPr>
                <w:color w:val="auto"/>
                <w:sz w:val="28"/>
              </w:rPr>
            </w:pPr>
            <w:r w:rsidRPr="001F56D7">
              <w:rPr>
                <w:color w:val="auto"/>
                <w:sz w:val="28"/>
              </w:rPr>
              <w:t>5 December</w:t>
            </w:r>
          </w:p>
        </w:tc>
        <w:tc>
          <w:tcPr>
            <w:tcW w:w="5245" w:type="dxa"/>
          </w:tcPr>
          <w:p w14:paraId="540C9D29" w14:textId="77777777" w:rsidR="00DF7C46" w:rsidRPr="001F56D7" w:rsidRDefault="00DF7C46" w:rsidP="003B1615">
            <w:pPr>
              <w:spacing w:after="120"/>
              <w:ind w:right="-23"/>
              <w:jc w:val="center"/>
              <w:cnfStyle w:val="100000000000" w:firstRow="1" w:lastRow="0" w:firstColumn="0" w:lastColumn="0" w:oddVBand="0" w:evenVBand="0" w:oddHBand="0" w:evenHBand="0" w:firstRowFirstColumn="0" w:firstRowLastColumn="0" w:lastRowFirstColumn="0" w:lastRowLastColumn="0"/>
              <w:rPr>
                <w:b w:val="0"/>
                <w:color w:val="auto"/>
                <w:sz w:val="28"/>
              </w:rPr>
            </w:pPr>
            <w:r w:rsidRPr="001F56D7">
              <w:rPr>
                <w:color w:val="auto"/>
                <w:sz w:val="28"/>
              </w:rPr>
              <w:t>Day 2</w:t>
            </w:r>
          </w:p>
          <w:p w14:paraId="02F6185F" w14:textId="77777777" w:rsidR="00DF7C46" w:rsidRPr="001F56D7" w:rsidRDefault="00DF7C46" w:rsidP="003B1615">
            <w:pPr>
              <w:spacing w:after="120"/>
              <w:ind w:right="-23"/>
              <w:jc w:val="center"/>
              <w:cnfStyle w:val="100000000000" w:firstRow="1" w:lastRow="0" w:firstColumn="0" w:lastColumn="0" w:oddVBand="0" w:evenVBand="0" w:oddHBand="0" w:evenHBand="0" w:firstRowFirstColumn="0" w:firstRowLastColumn="0" w:lastRowFirstColumn="0" w:lastRowLastColumn="0"/>
              <w:rPr>
                <w:color w:val="auto"/>
                <w:sz w:val="28"/>
              </w:rPr>
            </w:pPr>
            <w:r w:rsidRPr="001F56D7">
              <w:rPr>
                <w:color w:val="auto"/>
                <w:sz w:val="28"/>
              </w:rPr>
              <w:t>6 December</w:t>
            </w:r>
          </w:p>
        </w:tc>
      </w:tr>
      <w:tr w:rsidR="00DF7C46" w:rsidRPr="00270C8D" w14:paraId="61515A24" w14:textId="77777777" w:rsidTr="003B1615">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961" w:type="dxa"/>
          </w:tcPr>
          <w:p w14:paraId="5F0A3F36" w14:textId="77777777" w:rsidR="00DF7C46" w:rsidRPr="00527314" w:rsidRDefault="00DF7C46" w:rsidP="003B1615">
            <w:pPr>
              <w:spacing w:before="120" w:after="120" w:line="276" w:lineRule="auto"/>
              <w:ind w:right="-23"/>
            </w:pPr>
            <w:r w:rsidRPr="00527314">
              <w:t xml:space="preserve">Opening session </w:t>
            </w:r>
          </w:p>
          <w:p w14:paraId="2727E64A" w14:textId="77777777" w:rsidR="00DF7C46" w:rsidRPr="00527314" w:rsidRDefault="00DF7C46" w:rsidP="003B1615">
            <w:pPr>
              <w:spacing w:before="120" w:after="120" w:line="276" w:lineRule="auto"/>
              <w:ind w:right="-23"/>
            </w:pPr>
            <w:r w:rsidRPr="00527314">
              <w:t xml:space="preserve">10.30-11.00 </w:t>
            </w:r>
          </w:p>
          <w:p w14:paraId="40BA7F65" w14:textId="77777777" w:rsidR="00DF7C46" w:rsidRPr="00527314" w:rsidRDefault="00DF7C46" w:rsidP="003B1615">
            <w:pPr>
              <w:spacing w:before="120" w:after="120" w:line="276" w:lineRule="auto"/>
              <w:ind w:right="-23"/>
              <w:rPr>
                <w:b w:val="0"/>
              </w:rPr>
            </w:pPr>
            <w:r w:rsidRPr="00527314">
              <w:rPr>
                <w:b w:val="0"/>
              </w:rPr>
              <w:t>(tbc Ms. Elisabeth Tuerk)</w:t>
            </w:r>
          </w:p>
        </w:tc>
        <w:tc>
          <w:tcPr>
            <w:tcW w:w="5245" w:type="dxa"/>
          </w:tcPr>
          <w:p w14:paraId="4DB62FB7" w14:textId="77777777" w:rsidR="00DF7C46" w:rsidRPr="00527314" w:rsidRDefault="00DF7C46" w:rsidP="003B1615">
            <w:pPr>
              <w:spacing w:before="120" w:after="120" w:line="276" w:lineRule="auto"/>
              <w:ind w:right="-23"/>
              <w:cnfStyle w:val="000000100000" w:firstRow="0" w:lastRow="0" w:firstColumn="0" w:lastColumn="0" w:oddVBand="0" w:evenVBand="0" w:oddHBand="1" w:evenHBand="0" w:firstRowFirstColumn="0" w:firstRowLastColumn="0" w:lastRowFirstColumn="0" w:lastRowLastColumn="0"/>
            </w:pPr>
          </w:p>
        </w:tc>
      </w:tr>
      <w:tr w:rsidR="00DF7C46" w14:paraId="20576B19" w14:textId="77777777" w:rsidTr="003B1615">
        <w:trPr>
          <w:trHeight w:val="600"/>
        </w:trPr>
        <w:tc>
          <w:tcPr>
            <w:cnfStyle w:val="001000000000" w:firstRow="0" w:lastRow="0" w:firstColumn="1" w:lastColumn="0" w:oddVBand="0" w:evenVBand="0" w:oddHBand="0" w:evenHBand="0" w:firstRowFirstColumn="0" w:firstRowLastColumn="0" w:lastRowFirstColumn="0" w:lastRowLastColumn="0"/>
            <w:tcW w:w="4961" w:type="dxa"/>
          </w:tcPr>
          <w:p w14:paraId="08FC0F0B" w14:textId="77777777" w:rsidR="00DF7C46" w:rsidRPr="00527314" w:rsidRDefault="00DF7C46" w:rsidP="003B1615">
            <w:pPr>
              <w:spacing w:before="120" w:after="120" w:line="276" w:lineRule="auto"/>
              <w:ind w:right="-23"/>
              <w:rPr>
                <w:b w:val="0"/>
              </w:rPr>
            </w:pPr>
            <w:r w:rsidRPr="00527314">
              <w:t xml:space="preserve">11:00-13:00  </w:t>
            </w:r>
          </w:p>
          <w:p w14:paraId="48D9C50E" w14:textId="77777777" w:rsidR="00DF7C46" w:rsidRPr="00527314" w:rsidRDefault="00DF7C46" w:rsidP="003B1615">
            <w:pPr>
              <w:spacing w:before="120" w:after="120" w:line="276" w:lineRule="auto"/>
              <w:ind w:right="-23"/>
              <w:rPr>
                <w:b w:val="0"/>
              </w:rPr>
            </w:pPr>
            <w:r w:rsidRPr="00527314">
              <w:rPr>
                <w:b w:val="0"/>
              </w:rPr>
              <w:t>Group 1: Digital transport (transit + corridors)</w:t>
            </w:r>
          </w:p>
          <w:p w14:paraId="65697C6E" w14:textId="2EAB470B" w:rsidR="00DF7C46" w:rsidRPr="00F82A90" w:rsidRDefault="00DF7C46" w:rsidP="003B1615">
            <w:pPr>
              <w:spacing w:before="120" w:after="120" w:line="276" w:lineRule="auto"/>
              <w:ind w:right="-23"/>
              <w:rPr>
                <w:rFonts w:eastAsia="ＭＳ 明朝"/>
                <w:b w:val="0"/>
              </w:rPr>
            </w:pPr>
            <w:r w:rsidRPr="00527314">
              <w:rPr>
                <w:b w:val="0"/>
              </w:rPr>
              <w:t xml:space="preserve">Group 2: MLETR </w:t>
            </w:r>
            <w:r w:rsidR="00F82A90">
              <w:rPr>
                <w:b w:val="0"/>
              </w:rPr>
              <w:t>(</w:t>
            </w:r>
            <w:r w:rsidR="00F82A90">
              <w:rPr>
                <w:rFonts w:ascii="Arial" w:hAnsi="Arial" w:cs="Arial"/>
                <w:b w:val="0"/>
                <w:bCs w:val="0"/>
                <w:color w:val="444444"/>
                <w:sz w:val="21"/>
                <w:szCs w:val="21"/>
                <w:shd w:val="clear" w:color="auto" w:fill="FFFFFF"/>
              </w:rPr>
              <w:t>Model Law on Electronic Transferable Records)</w:t>
            </w:r>
          </w:p>
          <w:p w14:paraId="1AD779B4" w14:textId="77777777" w:rsidR="00DF7C46" w:rsidRPr="00527314" w:rsidRDefault="00DF7C46" w:rsidP="003B1615">
            <w:pPr>
              <w:spacing w:before="120" w:after="120" w:line="276" w:lineRule="auto"/>
              <w:ind w:right="-23"/>
              <w:rPr>
                <w:b w:val="0"/>
              </w:rPr>
            </w:pPr>
            <w:r w:rsidRPr="00527314">
              <w:rPr>
                <w:b w:val="0"/>
              </w:rPr>
              <w:t xml:space="preserve">Group 3: JSON-LD </w:t>
            </w:r>
          </w:p>
        </w:tc>
        <w:tc>
          <w:tcPr>
            <w:tcW w:w="5245" w:type="dxa"/>
          </w:tcPr>
          <w:p w14:paraId="5764BDE3" w14:textId="77777777" w:rsidR="00DF7C46" w:rsidRPr="00527314" w:rsidRDefault="00DF7C46" w:rsidP="003B1615">
            <w:pPr>
              <w:spacing w:before="120" w:after="120" w:line="276" w:lineRule="auto"/>
              <w:ind w:right="-23"/>
              <w:cnfStyle w:val="000000000000" w:firstRow="0" w:lastRow="0" w:firstColumn="0" w:lastColumn="0" w:oddVBand="0" w:evenVBand="0" w:oddHBand="0" w:evenHBand="0" w:firstRowFirstColumn="0" w:firstRowLastColumn="0" w:lastRowFirstColumn="0" w:lastRowLastColumn="0"/>
            </w:pPr>
            <w:r w:rsidRPr="00527314">
              <w:rPr>
                <w:b/>
              </w:rPr>
              <w:t>11:00-13:00</w:t>
            </w:r>
          </w:p>
          <w:p w14:paraId="4ED5A2F4" w14:textId="7F21F715" w:rsidR="00DF7C46" w:rsidRPr="00527314" w:rsidRDefault="00DF7C46" w:rsidP="003B1615">
            <w:pPr>
              <w:spacing w:before="120" w:after="120" w:line="276" w:lineRule="auto"/>
              <w:ind w:right="-23"/>
              <w:cnfStyle w:val="000000000000" w:firstRow="0" w:lastRow="0" w:firstColumn="0" w:lastColumn="0" w:oddVBand="0" w:evenVBand="0" w:oddHBand="0" w:evenHBand="0" w:firstRowFirstColumn="0" w:firstRowLastColumn="0" w:lastRowFirstColumn="0" w:lastRowLastColumn="0"/>
            </w:pPr>
            <w:r w:rsidRPr="00527314">
              <w:t>Group 1: Interledge</w:t>
            </w:r>
            <w:r>
              <w:t>r</w:t>
            </w:r>
            <w:r w:rsidRPr="00527314">
              <w:t xml:space="preserve"> CoO</w:t>
            </w:r>
            <w:r w:rsidR="00DA48AD">
              <w:t xml:space="preserve"> (?)</w:t>
            </w:r>
          </w:p>
          <w:p w14:paraId="74D93D49" w14:textId="77777777" w:rsidR="00DF7C46" w:rsidRPr="00527314" w:rsidRDefault="00DF7C46" w:rsidP="003B1615">
            <w:pPr>
              <w:spacing w:before="120" w:after="120" w:line="276" w:lineRule="auto"/>
              <w:ind w:right="-23"/>
              <w:cnfStyle w:val="000000000000" w:firstRow="0" w:lastRow="0" w:firstColumn="0" w:lastColumn="0" w:oddVBand="0" w:evenVBand="0" w:oddHBand="0" w:evenHBand="0" w:firstRowFirstColumn="0" w:firstRowLastColumn="0" w:lastRowFirstColumn="0" w:lastRowLastColumn="0"/>
            </w:pPr>
            <w:r w:rsidRPr="00527314">
              <w:t xml:space="preserve">Group 2: Project Conformity </w:t>
            </w:r>
          </w:p>
          <w:p w14:paraId="4D1100C5" w14:textId="77777777" w:rsidR="00DF7C46" w:rsidRPr="00527314" w:rsidRDefault="00DF7C46" w:rsidP="003B1615">
            <w:pPr>
              <w:spacing w:before="120" w:after="120" w:line="276" w:lineRule="auto"/>
              <w:ind w:right="-23"/>
              <w:cnfStyle w:val="000000000000" w:firstRow="0" w:lastRow="0" w:firstColumn="0" w:lastColumn="0" w:oddVBand="0" w:evenVBand="0" w:oddHBand="0" w:evenHBand="0" w:firstRowFirstColumn="0" w:firstRowLastColumn="0" w:lastRowFirstColumn="0" w:lastRowLastColumn="0"/>
            </w:pPr>
            <w:r w:rsidRPr="00527314">
              <w:t>Group 3: Sustainable tourism</w:t>
            </w:r>
          </w:p>
        </w:tc>
      </w:tr>
      <w:tr w:rsidR="00DF7C46" w:rsidRPr="00270C8D" w14:paraId="71136173" w14:textId="77777777" w:rsidTr="003B1615">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4961" w:type="dxa"/>
          </w:tcPr>
          <w:p w14:paraId="54B45647" w14:textId="77777777" w:rsidR="00DF7C46" w:rsidRPr="00527314" w:rsidRDefault="00DF7C46" w:rsidP="003B1615">
            <w:pPr>
              <w:spacing w:before="120" w:after="120" w:line="276" w:lineRule="auto"/>
              <w:ind w:right="-23"/>
              <w:rPr>
                <w:b w:val="0"/>
              </w:rPr>
            </w:pPr>
            <w:r w:rsidRPr="00527314">
              <w:t>14:00-16:00</w:t>
            </w:r>
          </w:p>
          <w:p w14:paraId="255EC47A" w14:textId="3AE61AEB" w:rsidR="00DF7C46" w:rsidRPr="00527314" w:rsidRDefault="00DF7C46" w:rsidP="003B1615">
            <w:pPr>
              <w:spacing w:before="120" w:after="120" w:line="276" w:lineRule="auto"/>
              <w:ind w:right="-23"/>
              <w:rPr>
                <w:b w:val="0"/>
              </w:rPr>
            </w:pPr>
            <w:r w:rsidRPr="00527314">
              <w:rPr>
                <w:b w:val="0"/>
              </w:rPr>
              <w:t xml:space="preserve">Group 1: SWAM </w:t>
            </w:r>
            <w:r w:rsidR="00DA48AD">
              <w:rPr>
                <w:b w:val="0"/>
              </w:rPr>
              <w:t>(</w:t>
            </w:r>
            <w:r w:rsidR="002329DF">
              <w:rPr>
                <w:rFonts w:eastAsia="ＭＳ 明朝" w:hint="eastAsia"/>
                <w:b w:val="0"/>
              </w:rPr>
              <w:t>S</w:t>
            </w:r>
            <w:r w:rsidR="002329DF">
              <w:rPr>
                <w:rFonts w:eastAsia="ＭＳ 明朝"/>
                <w:b w:val="0"/>
              </w:rPr>
              <w:t>ingle Window Assessment Methodology</w:t>
            </w:r>
            <w:r w:rsidR="00DA48AD">
              <w:rPr>
                <w:b w:val="0"/>
              </w:rPr>
              <w:t>)</w:t>
            </w:r>
          </w:p>
          <w:p w14:paraId="3FA43843" w14:textId="77777777" w:rsidR="00DF7C46" w:rsidRPr="00527314" w:rsidRDefault="00DF7C46" w:rsidP="003B1615">
            <w:pPr>
              <w:spacing w:before="120" w:after="120" w:line="276" w:lineRule="auto"/>
              <w:ind w:right="-23"/>
              <w:rPr>
                <w:b w:val="0"/>
              </w:rPr>
            </w:pPr>
            <w:r w:rsidRPr="00527314">
              <w:rPr>
                <w:b w:val="0"/>
              </w:rPr>
              <w:t xml:space="preserve">Group 2: Use of AI in TF </w:t>
            </w:r>
          </w:p>
          <w:p w14:paraId="1A0F482C" w14:textId="2E79C1DE" w:rsidR="00DF7C46" w:rsidRPr="00527314" w:rsidRDefault="00DF7C46" w:rsidP="003B1615">
            <w:pPr>
              <w:spacing w:before="120" w:after="120" w:line="276" w:lineRule="auto"/>
              <w:ind w:right="-23"/>
              <w:rPr>
                <w:b w:val="0"/>
              </w:rPr>
            </w:pPr>
            <w:r w:rsidRPr="00527314">
              <w:rPr>
                <w:b w:val="0"/>
              </w:rPr>
              <w:t>Group 3: ToS</w:t>
            </w:r>
            <w:r w:rsidR="00DA48AD">
              <w:rPr>
                <w:b w:val="0"/>
              </w:rPr>
              <w:t xml:space="preserve"> (?)</w:t>
            </w:r>
          </w:p>
          <w:p w14:paraId="57506DB1" w14:textId="77777777" w:rsidR="00DF7C46" w:rsidRPr="00527314" w:rsidRDefault="00DF7C46" w:rsidP="003B1615">
            <w:pPr>
              <w:spacing w:before="120" w:after="120" w:line="276" w:lineRule="auto"/>
              <w:ind w:right="-23"/>
            </w:pPr>
          </w:p>
        </w:tc>
        <w:tc>
          <w:tcPr>
            <w:tcW w:w="5245" w:type="dxa"/>
          </w:tcPr>
          <w:p w14:paraId="438CF17F" w14:textId="77777777" w:rsidR="00DF7C46" w:rsidRPr="00527314" w:rsidRDefault="00DF7C46" w:rsidP="003B1615">
            <w:pPr>
              <w:spacing w:before="120" w:after="120" w:line="276" w:lineRule="auto"/>
              <w:ind w:right="-23"/>
              <w:cnfStyle w:val="000000100000" w:firstRow="0" w:lastRow="0" w:firstColumn="0" w:lastColumn="0" w:oddVBand="0" w:evenVBand="0" w:oddHBand="1" w:evenHBand="0" w:firstRowFirstColumn="0" w:firstRowLastColumn="0" w:lastRowFirstColumn="0" w:lastRowLastColumn="0"/>
              <w:rPr>
                <w:b/>
              </w:rPr>
            </w:pPr>
            <w:r w:rsidRPr="00527314">
              <w:rPr>
                <w:b/>
              </w:rPr>
              <w:t>14:00-16:00</w:t>
            </w:r>
          </w:p>
          <w:p w14:paraId="111978F2" w14:textId="77777777" w:rsidR="00DF7C46" w:rsidRPr="00527314" w:rsidRDefault="00DF7C46" w:rsidP="003B1615">
            <w:pPr>
              <w:spacing w:before="120" w:after="120" w:line="276" w:lineRule="auto"/>
              <w:ind w:right="-23"/>
              <w:cnfStyle w:val="000000100000" w:firstRow="0" w:lastRow="0" w:firstColumn="0" w:lastColumn="0" w:oddVBand="0" w:evenVBand="0" w:oddHBand="1" w:evenHBand="0" w:firstRowFirstColumn="0" w:firstRowLastColumn="0" w:lastRowFirstColumn="0" w:lastRowLastColumn="0"/>
            </w:pPr>
            <w:r w:rsidRPr="00527314">
              <w:t xml:space="preserve">Group 1: CII Light </w:t>
            </w:r>
          </w:p>
          <w:p w14:paraId="19418D4B" w14:textId="77777777" w:rsidR="00DF7C46" w:rsidRPr="00527314" w:rsidRDefault="00DF7C46" w:rsidP="003B1615">
            <w:pPr>
              <w:spacing w:before="120" w:after="120" w:line="276" w:lineRule="auto"/>
              <w:ind w:right="-23"/>
              <w:cnfStyle w:val="000000100000" w:firstRow="0" w:lastRow="0" w:firstColumn="0" w:lastColumn="0" w:oddVBand="0" w:evenVBand="0" w:oddHBand="1" w:evenHBand="0" w:firstRowFirstColumn="0" w:firstRowLastColumn="0" w:lastRowFirstColumn="0" w:lastRowLastColumn="0"/>
            </w:pPr>
            <w:r w:rsidRPr="00527314">
              <w:t>Group 2: Transport/API (to be updated by Hanane)</w:t>
            </w:r>
          </w:p>
          <w:p w14:paraId="02D644A0" w14:textId="77777777" w:rsidR="00DF7C46" w:rsidRPr="00527314" w:rsidRDefault="00DF7C46" w:rsidP="003B1615">
            <w:pPr>
              <w:spacing w:before="120" w:after="120" w:line="276" w:lineRule="auto"/>
              <w:ind w:right="-23"/>
              <w:cnfStyle w:val="000000100000" w:firstRow="0" w:lastRow="0" w:firstColumn="0" w:lastColumn="0" w:oddVBand="0" w:evenVBand="0" w:oddHBand="1" w:evenHBand="0" w:firstRowFirstColumn="0" w:firstRowLastColumn="0" w:lastRowFirstColumn="0" w:lastRowLastColumn="0"/>
            </w:pPr>
            <w:r w:rsidRPr="00527314">
              <w:t xml:space="preserve">Group 3: Library Methodology + API Town plan </w:t>
            </w:r>
          </w:p>
        </w:tc>
      </w:tr>
      <w:tr w:rsidR="00DF7C46" w:rsidRPr="00B86919" w14:paraId="4D21AB03" w14:textId="77777777" w:rsidTr="003B1615">
        <w:trPr>
          <w:trHeight w:val="600"/>
        </w:trPr>
        <w:tc>
          <w:tcPr>
            <w:cnfStyle w:val="001000000000" w:firstRow="0" w:lastRow="0" w:firstColumn="1" w:lastColumn="0" w:oddVBand="0" w:evenVBand="0" w:oddHBand="0" w:evenHBand="0" w:firstRowFirstColumn="0" w:firstRowLastColumn="0" w:lastRowFirstColumn="0" w:lastRowLastColumn="0"/>
            <w:tcW w:w="4961" w:type="dxa"/>
          </w:tcPr>
          <w:p w14:paraId="0F8E62E2" w14:textId="77777777" w:rsidR="00DF7C46" w:rsidRPr="00527314" w:rsidRDefault="00DF7C46" w:rsidP="003B1615">
            <w:pPr>
              <w:spacing w:before="120" w:after="120" w:line="276" w:lineRule="auto"/>
              <w:ind w:right="-23"/>
            </w:pPr>
          </w:p>
        </w:tc>
        <w:tc>
          <w:tcPr>
            <w:tcW w:w="5245" w:type="dxa"/>
          </w:tcPr>
          <w:p w14:paraId="64742415" w14:textId="77777777" w:rsidR="00DF7C46" w:rsidRPr="00527314" w:rsidRDefault="00DF7C46" w:rsidP="003B1615">
            <w:pPr>
              <w:spacing w:before="120" w:after="120" w:line="276" w:lineRule="auto"/>
              <w:ind w:right="-23"/>
              <w:cnfStyle w:val="000000000000" w:firstRow="0" w:lastRow="0" w:firstColumn="0" w:lastColumn="0" w:oddVBand="0" w:evenVBand="0" w:oddHBand="0" w:evenHBand="0" w:firstRowFirstColumn="0" w:firstRowLastColumn="0" w:lastRowFirstColumn="0" w:lastRowLastColumn="0"/>
              <w:rPr>
                <w:b/>
              </w:rPr>
            </w:pPr>
            <w:r w:rsidRPr="00527314">
              <w:rPr>
                <w:b/>
              </w:rPr>
              <w:t>Closing session</w:t>
            </w:r>
          </w:p>
          <w:p w14:paraId="56992B5E" w14:textId="77777777" w:rsidR="00DF7C46" w:rsidRPr="00527314" w:rsidRDefault="00DF7C46" w:rsidP="003B1615">
            <w:pPr>
              <w:spacing w:before="120" w:after="120" w:line="276" w:lineRule="auto"/>
              <w:ind w:right="-23"/>
              <w:cnfStyle w:val="000000000000" w:firstRow="0" w:lastRow="0" w:firstColumn="0" w:lastColumn="0" w:oddVBand="0" w:evenVBand="0" w:oddHBand="0" w:evenHBand="0" w:firstRowFirstColumn="0" w:firstRowLastColumn="0" w:lastRowFirstColumn="0" w:lastRowLastColumn="0"/>
            </w:pPr>
            <w:r w:rsidRPr="00527314">
              <w:rPr>
                <w:b/>
              </w:rPr>
              <w:t>16:00-17:00</w:t>
            </w:r>
          </w:p>
        </w:tc>
      </w:tr>
    </w:tbl>
    <w:p w14:paraId="1FAA6137" w14:textId="77777777" w:rsidR="00DF7C46" w:rsidRPr="008A40DB" w:rsidRDefault="00DF7C46" w:rsidP="00DF7C46">
      <w:pPr>
        <w:pStyle w:val="af7"/>
        <w:ind w:left="0" w:right="-24"/>
        <w:rPr>
          <w:rFonts w:ascii="Calibri" w:hAnsi="Calibri" w:cs="Calibri"/>
          <w:color w:val="000000" w:themeColor="text1"/>
          <w:lang w:val="en-US"/>
        </w:rPr>
      </w:pPr>
    </w:p>
    <w:p w14:paraId="1C6B09B6" w14:textId="77777777" w:rsidR="00DF7C46" w:rsidRPr="00DF7C46" w:rsidRDefault="00DF7C46" w:rsidP="00DF7C46">
      <w:pPr>
        <w:spacing w:before="240"/>
        <w:rPr>
          <w:u w:val="single"/>
        </w:rPr>
      </w:pPr>
    </w:p>
    <w:sectPr w:rsidR="00DF7C46" w:rsidRPr="00DF7C46" w:rsidSect="00CC3D65">
      <w:headerReference w:type="even" r:id="rId16"/>
      <w:headerReference w:type="default" r:id="rId17"/>
      <w:footerReference w:type="even" r:id="rId18"/>
      <w:footerReference w:type="default" r:id="rId19"/>
      <w:headerReference w:type="first" r:id="rId20"/>
      <w:footerReference w:type="first" r:id="rId21"/>
      <w:endnotePr>
        <w:numFmt w:val="decimal"/>
      </w:endnotePr>
      <w:pgSz w:w="11907" w:h="16840" w:code="9"/>
      <w:pgMar w:top="1418" w:right="1134" w:bottom="1134" w:left="1134" w:header="851" w:footer="567"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D3AD81" w14:textId="77777777" w:rsidR="00A04EA5" w:rsidRDefault="00A04EA5"/>
  </w:endnote>
  <w:endnote w:type="continuationSeparator" w:id="0">
    <w:p w14:paraId="5480A922" w14:textId="77777777" w:rsidR="00A04EA5" w:rsidRDefault="00A04EA5"/>
  </w:endnote>
  <w:endnote w:type="continuationNotice" w:id="1">
    <w:p w14:paraId="06185272" w14:textId="77777777" w:rsidR="00A04EA5" w:rsidRDefault="00A04E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D9B466" w14:textId="4A696637" w:rsidR="00CC3D65" w:rsidRPr="00CC3D65" w:rsidRDefault="00CC3D65" w:rsidP="00CC3D65">
    <w:pPr>
      <w:pStyle w:val="a9"/>
      <w:tabs>
        <w:tab w:val="right" w:pos="9638"/>
      </w:tabs>
      <w:rPr>
        <w:sz w:val="18"/>
      </w:rPr>
    </w:pPr>
    <w:r>
      <w:rPr>
        <w:b/>
        <w:sz w:val="18"/>
      </w:rPr>
      <w:fldChar w:fldCharType="begin"/>
    </w:r>
    <w:r>
      <w:rPr>
        <w:b/>
        <w:sz w:val="18"/>
      </w:rPr>
      <w:instrText xml:space="preserve"> PAGE  \* MERGEFORMAT </w:instrText>
    </w:r>
    <w:r>
      <w:rPr>
        <w:b/>
        <w:sz w:val="18"/>
      </w:rPr>
      <w:fldChar w:fldCharType="separate"/>
    </w:r>
    <w:r>
      <w:rPr>
        <w:b/>
        <w:noProof/>
        <w:sz w:val="18"/>
      </w:rPr>
      <w:t>2</w:t>
    </w:r>
    <w:r>
      <w:rPr>
        <w:b/>
        <w:sz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32C699" w14:textId="4C4AAC48" w:rsidR="00CC3D65" w:rsidRPr="00CC3D65" w:rsidRDefault="00CC3D65" w:rsidP="00CC3D65">
    <w:pPr>
      <w:pStyle w:val="a9"/>
      <w:tabs>
        <w:tab w:val="right" w:pos="9638"/>
      </w:tabs>
      <w:rPr>
        <w:b/>
        <w:sz w:val="18"/>
      </w:rPr>
    </w:pPr>
    <w:r>
      <w:tab/>
    </w:r>
    <w:r>
      <w:rPr>
        <w:b/>
        <w:sz w:val="18"/>
      </w:rPr>
      <w:fldChar w:fldCharType="begin"/>
    </w:r>
    <w:r>
      <w:rPr>
        <w:b/>
        <w:sz w:val="18"/>
      </w:rPr>
      <w:instrText xml:space="preserve"> PAGE  \* MERGEFORMAT </w:instrText>
    </w:r>
    <w:r>
      <w:rPr>
        <w:b/>
        <w:sz w:val="18"/>
      </w:rPr>
      <w:fldChar w:fldCharType="separate"/>
    </w:r>
    <w:r>
      <w:rPr>
        <w:b/>
        <w:noProof/>
        <w:sz w:val="18"/>
      </w:rPr>
      <w:t>3</w:t>
    </w:r>
    <w:r>
      <w:rPr>
        <w:b/>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99816683"/>
      <w:docPartObj>
        <w:docPartGallery w:val="Page Numbers (Bottom of Page)"/>
        <w:docPartUnique/>
      </w:docPartObj>
    </w:sdtPr>
    <w:sdtContent>
      <w:p w14:paraId="1B8BAF73" w14:textId="50562302" w:rsidR="00E065BC" w:rsidRDefault="00E065BC">
        <w:pPr>
          <w:pStyle w:val="a9"/>
          <w:jc w:val="center"/>
        </w:pPr>
        <w:r>
          <w:fldChar w:fldCharType="begin"/>
        </w:r>
        <w:r>
          <w:instrText>PAGE   \* MERGEFORMAT</w:instrText>
        </w:r>
        <w:r>
          <w:fldChar w:fldCharType="separate"/>
        </w:r>
        <w:r>
          <w:rPr>
            <w:lang w:val="ja-JP" w:eastAsia="ja-JP"/>
          </w:rPr>
          <w:t>2</w:t>
        </w:r>
        <w:r>
          <w:fldChar w:fldCharType="end"/>
        </w:r>
      </w:p>
    </w:sdtContent>
  </w:sdt>
  <w:p w14:paraId="4645CF3B" w14:textId="6A716710" w:rsidR="0035223F" w:rsidRDefault="0035223F" w:rsidP="007E1876">
    <w:pPr>
      <w:pStyle w:val="a9"/>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FFF181" w14:textId="77777777" w:rsidR="00A04EA5" w:rsidRPr="000B175B" w:rsidRDefault="00A04EA5" w:rsidP="000B175B">
      <w:pPr>
        <w:tabs>
          <w:tab w:val="right" w:pos="2155"/>
        </w:tabs>
        <w:spacing w:after="80"/>
        <w:ind w:left="680"/>
        <w:rPr>
          <w:u w:val="single"/>
        </w:rPr>
      </w:pPr>
      <w:r>
        <w:tab/>
      </w:r>
    </w:p>
  </w:footnote>
  <w:footnote w:type="continuationSeparator" w:id="0">
    <w:p w14:paraId="0806A025" w14:textId="77777777" w:rsidR="00A04EA5" w:rsidRPr="00FC68B7" w:rsidRDefault="00A04EA5" w:rsidP="00FC68B7">
      <w:pPr>
        <w:tabs>
          <w:tab w:val="left" w:pos="2155"/>
        </w:tabs>
        <w:spacing w:after="80"/>
        <w:ind w:left="680"/>
        <w:rPr>
          <w:u w:val="single"/>
        </w:rPr>
      </w:pPr>
      <w:r>
        <w:tab/>
      </w:r>
    </w:p>
  </w:footnote>
  <w:footnote w:type="continuationNotice" w:id="1">
    <w:p w14:paraId="378ECC96" w14:textId="77777777" w:rsidR="00A04EA5" w:rsidRDefault="00A04EA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9E94F5" w14:textId="4E2712FF" w:rsidR="00CC3D65" w:rsidRPr="00CC3D65" w:rsidRDefault="000C5871" w:rsidP="000C5871">
    <w:pPr>
      <w:pStyle w:val="ab"/>
      <w:jc w:val="right"/>
      <w:rPr>
        <w:lang w:eastAsia="ja-JP"/>
      </w:rPr>
    </w:pPr>
    <w:bookmarkStart w:id="1" w:name="_Hlk117332659"/>
    <w:bookmarkStart w:id="2" w:name="_Hlk117332660"/>
    <w:r>
      <w:rPr>
        <w:rFonts w:hint="eastAsia"/>
        <w:lang w:eastAsia="ja-JP"/>
      </w:rPr>
      <w:t>国際連携</w:t>
    </w:r>
    <w:r>
      <w:rPr>
        <w:rFonts w:hint="eastAsia"/>
        <w:lang w:eastAsia="ja-JP"/>
      </w:rPr>
      <w:t>2</w:t>
    </w:r>
    <w:r>
      <w:rPr>
        <w:lang w:eastAsia="ja-JP"/>
      </w:rPr>
      <w:t>022-2-03</w:t>
    </w:r>
    <w:bookmarkEnd w:id="1"/>
    <w:bookmarkEnd w:id="2"/>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D59761" w14:textId="5385384A" w:rsidR="00CC3D65" w:rsidRPr="00CC3D65" w:rsidRDefault="000C5871" w:rsidP="000C5871">
    <w:pPr>
      <w:pStyle w:val="ab"/>
      <w:jc w:val="right"/>
      <w:rPr>
        <w:lang w:eastAsia="ja-JP"/>
      </w:rPr>
    </w:pPr>
    <w:r>
      <w:tab/>
    </w:r>
    <w:r>
      <w:rPr>
        <w:rFonts w:hint="eastAsia"/>
        <w:lang w:eastAsia="ja-JP"/>
      </w:rPr>
      <w:t>国際連携</w:t>
    </w:r>
    <w:r>
      <w:rPr>
        <w:rFonts w:hint="eastAsia"/>
        <w:lang w:eastAsia="ja-JP"/>
      </w:rPr>
      <w:t>2</w:t>
    </w:r>
    <w:r>
      <w:rPr>
        <w:lang w:eastAsia="ja-JP"/>
      </w:rPr>
      <w:t>022-2-03</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D8D3D4" w14:textId="1127AC2B" w:rsidR="00E065BC" w:rsidRDefault="00E065BC" w:rsidP="00E065BC">
    <w:pPr>
      <w:pStyle w:val="ab"/>
      <w:jc w:val="right"/>
      <w:rPr>
        <w:lang w:eastAsia="ja-JP"/>
      </w:rPr>
    </w:pPr>
    <w:r>
      <w:rPr>
        <w:rFonts w:hint="eastAsia"/>
        <w:lang w:eastAsia="ja-JP"/>
      </w:rPr>
      <w:t>国際連携</w:t>
    </w:r>
    <w:r>
      <w:rPr>
        <w:rFonts w:hint="eastAsia"/>
        <w:lang w:eastAsia="ja-JP"/>
      </w:rPr>
      <w:t>2</w:t>
    </w:r>
    <w:r>
      <w:rPr>
        <w:lang w:eastAsia="ja-JP"/>
      </w:rPr>
      <w:t>022-2-03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2AFEC36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F507AD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80EE6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5B7AE49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22A4B5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DA0EE9C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7D12BC3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FE6950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BFE3A6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A541A7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0C49F8"/>
    <w:multiLevelType w:val="hybridMultilevel"/>
    <w:tmpl w:val="FFD08D26"/>
    <w:lvl w:ilvl="0" w:tplc="2FB47626">
      <w:start w:val="1"/>
      <w:numFmt w:val="decimal"/>
      <w:lvlText w:val="%1."/>
      <w:lvlJc w:val="left"/>
      <w:pPr>
        <w:tabs>
          <w:tab w:val="num" w:pos="0"/>
        </w:tabs>
        <w:ind w:left="1134" w:firstLine="0"/>
      </w:pPr>
      <w:rPr>
        <w:rFonts w:ascii="Times New Roman" w:hAnsi="Times New Roman"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040566B7"/>
    <w:multiLevelType w:val="hybridMultilevel"/>
    <w:tmpl w:val="7B76F228"/>
    <w:lvl w:ilvl="0" w:tplc="08090001">
      <w:start w:val="1"/>
      <w:numFmt w:val="bullet"/>
      <w:lvlText w:val=""/>
      <w:lvlJc w:val="left"/>
      <w:pPr>
        <w:ind w:left="2278" w:hanging="360"/>
      </w:pPr>
      <w:rPr>
        <w:rFonts w:ascii="Symbol" w:hAnsi="Symbol" w:hint="default"/>
      </w:rPr>
    </w:lvl>
    <w:lvl w:ilvl="1" w:tplc="08090003" w:tentative="1">
      <w:start w:val="1"/>
      <w:numFmt w:val="bullet"/>
      <w:lvlText w:val="o"/>
      <w:lvlJc w:val="left"/>
      <w:pPr>
        <w:ind w:left="2998" w:hanging="360"/>
      </w:pPr>
      <w:rPr>
        <w:rFonts w:ascii="Courier New" w:hAnsi="Courier New" w:cs="Courier New" w:hint="default"/>
      </w:rPr>
    </w:lvl>
    <w:lvl w:ilvl="2" w:tplc="08090005" w:tentative="1">
      <w:start w:val="1"/>
      <w:numFmt w:val="bullet"/>
      <w:lvlText w:val=""/>
      <w:lvlJc w:val="left"/>
      <w:pPr>
        <w:ind w:left="3718" w:hanging="360"/>
      </w:pPr>
      <w:rPr>
        <w:rFonts w:ascii="Wingdings" w:hAnsi="Wingdings" w:hint="default"/>
      </w:rPr>
    </w:lvl>
    <w:lvl w:ilvl="3" w:tplc="08090001" w:tentative="1">
      <w:start w:val="1"/>
      <w:numFmt w:val="bullet"/>
      <w:lvlText w:val=""/>
      <w:lvlJc w:val="left"/>
      <w:pPr>
        <w:ind w:left="4438" w:hanging="360"/>
      </w:pPr>
      <w:rPr>
        <w:rFonts w:ascii="Symbol" w:hAnsi="Symbol" w:hint="default"/>
      </w:rPr>
    </w:lvl>
    <w:lvl w:ilvl="4" w:tplc="08090003" w:tentative="1">
      <w:start w:val="1"/>
      <w:numFmt w:val="bullet"/>
      <w:lvlText w:val="o"/>
      <w:lvlJc w:val="left"/>
      <w:pPr>
        <w:ind w:left="5158" w:hanging="360"/>
      </w:pPr>
      <w:rPr>
        <w:rFonts w:ascii="Courier New" w:hAnsi="Courier New" w:cs="Courier New" w:hint="default"/>
      </w:rPr>
    </w:lvl>
    <w:lvl w:ilvl="5" w:tplc="08090005" w:tentative="1">
      <w:start w:val="1"/>
      <w:numFmt w:val="bullet"/>
      <w:lvlText w:val=""/>
      <w:lvlJc w:val="left"/>
      <w:pPr>
        <w:ind w:left="5878" w:hanging="360"/>
      </w:pPr>
      <w:rPr>
        <w:rFonts w:ascii="Wingdings" w:hAnsi="Wingdings" w:hint="default"/>
      </w:rPr>
    </w:lvl>
    <w:lvl w:ilvl="6" w:tplc="08090001" w:tentative="1">
      <w:start w:val="1"/>
      <w:numFmt w:val="bullet"/>
      <w:lvlText w:val=""/>
      <w:lvlJc w:val="left"/>
      <w:pPr>
        <w:ind w:left="6598" w:hanging="360"/>
      </w:pPr>
      <w:rPr>
        <w:rFonts w:ascii="Symbol" w:hAnsi="Symbol" w:hint="default"/>
      </w:rPr>
    </w:lvl>
    <w:lvl w:ilvl="7" w:tplc="08090003" w:tentative="1">
      <w:start w:val="1"/>
      <w:numFmt w:val="bullet"/>
      <w:lvlText w:val="o"/>
      <w:lvlJc w:val="left"/>
      <w:pPr>
        <w:ind w:left="7318" w:hanging="360"/>
      </w:pPr>
      <w:rPr>
        <w:rFonts w:ascii="Courier New" w:hAnsi="Courier New" w:cs="Courier New" w:hint="default"/>
      </w:rPr>
    </w:lvl>
    <w:lvl w:ilvl="8" w:tplc="08090005" w:tentative="1">
      <w:start w:val="1"/>
      <w:numFmt w:val="bullet"/>
      <w:lvlText w:val=""/>
      <w:lvlJc w:val="left"/>
      <w:pPr>
        <w:ind w:left="8038" w:hanging="360"/>
      </w:pPr>
      <w:rPr>
        <w:rFonts w:ascii="Wingdings" w:hAnsi="Wingdings" w:hint="default"/>
      </w:rPr>
    </w:lvl>
  </w:abstractNum>
  <w:abstractNum w:abstractNumId="12" w15:restartNumberingAfterBreak="0">
    <w:nsid w:val="0B0500FC"/>
    <w:multiLevelType w:val="hybridMultilevel"/>
    <w:tmpl w:val="F796FFD0"/>
    <w:lvl w:ilvl="0" w:tplc="D646FD16">
      <w:numFmt w:val="bullet"/>
      <w:lvlText w:val="•"/>
      <w:lvlJc w:val="left"/>
      <w:pPr>
        <w:ind w:left="1854" w:hanging="360"/>
      </w:pPr>
      <w:rPr>
        <w:rFonts w:ascii="Times New Roman" w:eastAsia="Times New Roman" w:hAnsi="Times New Roman" w:cs="Times New Roman"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13" w15:restartNumberingAfterBreak="0">
    <w:nsid w:val="0D954887"/>
    <w:multiLevelType w:val="hybridMultilevel"/>
    <w:tmpl w:val="5A48E46A"/>
    <w:lvl w:ilvl="0" w:tplc="F560206C">
      <w:start w:val="1"/>
      <w:numFmt w:val="decimal"/>
      <w:pStyle w:val="ParNoG"/>
      <w:lvlText w:val="%1."/>
      <w:lvlJc w:val="left"/>
      <w:pPr>
        <w:tabs>
          <w:tab w:val="num" w:pos="1701"/>
        </w:tabs>
        <w:ind w:left="1134" w:firstLine="0"/>
      </w:pPr>
      <w:rPr>
        <w:rFonts w:ascii="Times New Roman" w:hAnsi="Times New Roman" w:hint="default"/>
        <w:b w:val="0"/>
        <w:i w:val="0"/>
        <w:sz w:val="20"/>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4" w15:restartNumberingAfterBreak="0">
    <w:nsid w:val="16015976"/>
    <w:multiLevelType w:val="hybridMultilevel"/>
    <w:tmpl w:val="9CB8D806"/>
    <w:lvl w:ilvl="0" w:tplc="D646FD16">
      <w:numFmt w:val="bullet"/>
      <w:lvlText w:val="•"/>
      <w:lvlJc w:val="left"/>
      <w:pPr>
        <w:ind w:left="2280" w:hanging="360"/>
      </w:pPr>
      <w:rPr>
        <w:rFonts w:ascii="Times New Roman" w:eastAsia="Times New Roman" w:hAnsi="Times New Roman" w:cs="Times New Roman" w:hint="default"/>
      </w:rPr>
    </w:lvl>
    <w:lvl w:ilvl="1" w:tplc="D646FD16">
      <w:numFmt w:val="bullet"/>
      <w:lvlText w:val="•"/>
      <w:lvlJc w:val="left"/>
      <w:pPr>
        <w:ind w:left="3000" w:hanging="360"/>
      </w:pPr>
      <w:rPr>
        <w:rFonts w:ascii="Times New Roman" w:eastAsia="Times New Roman" w:hAnsi="Times New Roman" w:cs="Times New Roman" w:hint="default"/>
      </w:r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15" w15:restartNumberingAfterBreak="0">
    <w:nsid w:val="1BAC3BCF"/>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6" w15:restartNumberingAfterBreak="0">
    <w:nsid w:val="1DD123F6"/>
    <w:multiLevelType w:val="multilevel"/>
    <w:tmpl w:val="04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1E253887"/>
    <w:multiLevelType w:val="hybridMultilevel"/>
    <w:tmpl w:val="497EC7CC"/>
    <w:lvl w:ilvl="0" w:tplc="FAE4B376">
      <w:start w:val="1"/>
      <w:numFmt w:val="bullet"/>
      <w:lvlText w:val="•"/>
      <w:lvlJc w:val="left"/>
      <w:pPr>
        <w:tabs>
          <w:tab w:val="num" w:pos="2268"/>
        </w:tabs>
        <w:ind w:left="2268" w:hanging="17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2444424"/>
    <w:multiLevelType w:val="hybridMultilevel"/>
    <w:tmpl w:val="D99A78D8"/>
    <w:lvl w:ilvl="0" w:tplc="D646FD16">
      <w:numFmt w:val="bullet"/>
      <w:lvlText w:val="•"/>
      <w:lvlJc w:val="left"/>
      <w:pPr>
        <w:ind w:left="1854" w:hanging="360"/>
      </w:pPr>
      <w:rPr>
        <w:rFonts w:ascii="Times New Roman" w:eastAsia="Times New Roman" w:hAnsi="Times New Roman" w:cs="Times New Roman"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19" w15:restartNumberingAfterBreak="0">
    <w:nsid w:val="31A12325"/>
    <w:multiLevelType w:val="hybridMultilevel"/>
    <w:tmpl w:val="FF0E5B48"/>
    <w:lvl w:ilvl="0" w:tplc="6D5E22D8">
      <w:start w:val="1"/>
      <w:numFmt w:val="bullet"/>
      <w:lvlText w:val="•"/>
      <w:lvlJc w:val="left"/>
      <w:pPr>
        <w:tabs>
          <w:tab w:val="num" w:pos="1701"/>
        </w:tabs>
        <w:ind w:left="1701" w:hanging="170"/>
      </w:pPr>
      <w:rPr>
        <w:rFonts w:ascii="Times New Roman" w:hAnsi="Times New Roman" w:cs="Times New Roman" w:hint="default"/>
        <w:b w:val="0"/>
        <w:i w:val="0"/>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42C2750"/>
    <w:multiLevelType w:val="hybridMultilevel"/>
    <w:tmpl w:val="E84E83C2"/>
    <w:lvl w:ilvl="0" w:tplc="AE0A6280">
      <w:start w:val="1"/>
      <w:numFmt w:val="lowerLetter"/>
      <w:lvlText w:val="(%1)"/>
      <w:lvlJc w:val="left"/>
      <w:pPr>
        <w:ind w:left="2280" w:hanging="360"/>
      </w:pPr>
      <w:rPr>
        <w:rFonts w:hint="default"/>
        <w:b w:val="0"/>
        <w:i w:val="0"/>
        <w:sz w:val="20"/>
      </w:rPr>
    </w:lvl>
    <w:lvl w:ilvl="1" w:tplc="D646FD16">
      <w:numFmt w:val="bullet"/>
      <w:lvlText w:val="•"/>
      <w:lvlJc w:val="left"/>
      <w:pPr>
        <w:ind w:left="3000" w:hanging="360"/>
      </w:pPr>
      <w:rPr>
        <w:rFonts w:ascii="Times New Roman" w:eastAsia="Times New Roman" w:hAnsi="Times New Roman" w:cs="Times New Roman" w:hint="default"/>
      </w:r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21" w15:restartNumberingAfterBreak="0">
    <w:nsid w:val="3516559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3DC20105"/>
    <w:multiLevelType w:val="hybridMultilevel"/>
    <w:tmpl w:val="54628F98"/>
    <w:lvl w:ilvl="0" w:tplc="AE0A6280">
      <w:start w:val="1"/>
      <w:numFmt w:val="lowerLetter"/>
      <w:lvlText w:val="(%1)"/>
      <w:lvlJc w:val="left"/>
      <w:pPr>
        <w:ind w:left="2280" w:hanging="360"/>
      </w:pPr>
      <w:rPr>
        <w:rFonts w:hint="default"/>
        <w:b w:val="0"/>
        <w:i w:val="0"/>
        <w:sz w:val="20"/>
      </w:rPr>
    </w:lvl>
    <w:lvl w:ilvl="1" w:tplc="D646FD16">
      <w:numFmt w:val="bullet"/>
      <w:lvlText w:val="•"/>
      <w:lvlJc w:val="left"/>
      <w:pPr>
        <w:ind w:left="3000" w:hanging="360"/>
      </w:pPr>
      <w:rPr>
        <w:rFonts w:ascii="Times New Roman" w:eastAsia="Times New Roman" w:hAnsi="Times New Roman" w:cs="Times New Roman" w:hint="default"/>
      </w:r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23" w15:restartNumberingAfterBreak="0">
    <w:nsid w:val="43C94051"/>
    <w:multiLevelType w:val="hybridMultilevel"/>
    <w:tmpl w:val="72E6453E"/>
    <w:lvl w:ilvl="0" w:tplc="AE0A6280">
      <w:start w:val="1"/>
      <w:numFmt w:val="lowerLetter"/>
      <w:lvlText w:val="(%1)"/>
      <w:lvlJc w:val="left"/>
      <w:pPr>
        <w:ind w:left="2280" w:hanging="360"/>
      </w:pPr>
      <w:rPr>
        <w:rFonts w:hint="default"/>
        <w:b w:val="0"/>
        <w:i w:val="0"/>
        <w:sz w:val="20"/>
      </w:rPr>
    </w:lvl>
    <w:lvl w:ilvl="1" w:tplc="D646FD16">
      <w:numFmt w:val="bullet"/>
      <w:lvlText w:val="•"/>
      <w:lvlJc w:val="left"/>
      <w:pPr>
        <w:ind w:left="3000" w:hanging="360"/>
      </w:pPr>
      <w:rPr>
        <w:rFonts w:ascii="Times New Roman" w:eastAsia="Times New Roman" w:hAnsi="Times New Roman" w:cs="Times New Roman" w:hint="default"/>
      </w:r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24" w15:restartNumberingAfterBreak="0">
    <w:nsid w:val="59BA7E3E"/>
    <w:multiLevelType w:val="hybridMultilevel"/>
    <w:tmpl w:val="A73C2668"/>
    <w:lvl w:ilvl="0" w:tplc="D646FD16">
      <w:numFmt w:val="bullet"/>
      <w:lvlText w:val="•"/>
      <w:lvlJc w:val="left"/>
      <w:pPr>
        <w:ind w:left="1854" w:hanging="360"/>
      </w:pPr>
      <w:rPr>
        <w:rFonts w:ascii="Times New Roman" w:eastAsia="Times New Roman" w:hAnsi="Times New Roman" w:cs="Times New Roman"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25" w15:restartNumberingAfterBreak="0">
    <w:nsid w:val="65925DC1"/>
    <w:multiLevelType w:val="hybridMultilevel"/>
    <w:tmpl w:val="7E20FAE4"/>
    <w:lvl w:ilvl="0" w:tplc="C1D0E6A0">
      <w:start w:val="1"/>
      <w:numFmt w:val="bullet"/>
      <w:pStyle w:val="Bullet1G"/>
      <w:lvlText w:val="•"/>
      <w:lvlJc w:val="left"/>
      <w:pPr>
        <w:tabs>
          <w:tab w:val="num" w:pos="1701"/>
        </w:tabs>
        <w:ind w:left="1701" w:hanging="170"/>
      </w:pPr>
      <w:rPr>
        <w:rFonts w:ascii="Times New Roman" w:hAnsi="Times New Roman" w:cs="Times New Roman" w:hint="default"/>
        <w:b w:val="0"/>
        <w:i w:val="0"/>
        <w:sz w:val="20"/>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5DA2716"/>
    <w:multiLevelType w:val="hybridMultilevel"/>
    <w:tmpl w:val="62E09614"/>
    <w:lvl w:ilvl="0" w:tplc="D646FD16">
      <w:numFmt w:val="bullet"/>
      <w:lvlText w:val="•"/>
      <w:lvlJc w:val="left"/>
      <w:pPr>
        <w:ind w:left="1854" w:hanging="360"/>
      </w:pPr>
      <w:rPr>
        <w:rFonts w:ascii="Times New Roman" w:eastAsia="Times New Roman" w:hAnsi="Times New Roman" w:cs="Times New Roman"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27" w15:restartNumberingAfterBreak="0">
    <w:nsid w:val="6C0D7B26"/>
    <w:multiLevelType w:val="hybridMultilevel"/>
    <w:tmpl w:val="567A14AE"/>
    <w:lvl w:ilvl="0" w:tplc="08090001">
      <w:start w:val="1"/>
      <w:numFmt w:val="bullet"/>
      <w:lvlText w:val=""/>
      <w:lvlJc w:val="left"/>
      <w:pPr>
        <w:ind w:left="1854" w:hanging="360"/>
      </w:pPr>
      <w:rPr>
        <w:rFonts w:ascii="Symbol" w:hAnsi="Symbol" w:hint="default"/>
      </w:rPr>
    </w:lvl>
    <w:lvl w:ilvl="1" w:tplc="08090003" w:tentative="1">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28" w15:restartNumberingAfterBreak="0">
    <w:nsid w:val="72B96AD2"/>
    <w:multiLevelType w:val="hybridMultilevel"/>
    <w:tmpl w:val="B75CE764"/>
    <w:lvl w:ilvl="0" w:tplc="08090001">
      <w:start w:val="1"/>
      <w:numFmt w:val="bullet"/>
      <w:lvlText w:val=""/>
      <w:lvlJc w:val="left"/>
      <w:pPr>
        <w:ind w:left="1494" w:hanging="360"/>
      </w:pPr>
      <w:rPr>
        <w:rFonts w:ascii="Symbol" w:hAnsi="Symbol" w:hint="default"/>
      </w:rPr>
    </w:lvl>
    <w:lvl w:ilvl="1" w:tplc="08090003" w:tentative="1">
      <w:start w:val="1"/>
      <w:numFmt w:val="bullet"/>
      <w:lvlText w:val="o"/>
      <w:lvlJc w:val="left"/>
      <w:pPr>
        <w:ind w:left="2214" w:hanging="360"/>
      </w:pPr>
      <w:rPr>
        <w:rFonts w:ascii="Courier New" w:hAnsi="Courier New" w:cs="Courier New" w:hint="default"/>
      </w:rPr>
    </w:lvl>
    <w:lvl w:ilvl="2" w:tplc="08090005" w:tentative="1">
      <w:start w:val="1"/>
      <w:numFmt w:val="bullet"/>
      <w:lvlText w:val=""/>
      <w:lvlJc w:val="left"/>
      <w:pPr>
        <w:ind w:left="2934" w:hanging="360"/>
      </w:pPr>
      <w:rPr>
        <w:rFonts w:ascii="Wingdings" w:hAnsi="Wingdings" w:hint="default"/>
      </w:rPr>
    </w:lvl>
    <w:lvl w:ilvl="3" w:tplc="08090001" w:tentative="1">
      <w:start w:val="1"/>
      <w:numFmt w:val="bullet"/>
      <w:lvlText w:val=""/>
      <w:lvlJc w:val="left"/>
      <w:pPr>
        <w:ind w:left="3654" w:hanging="360"/>
      </w:pPr>
      <w:rPr>
        <w:rFonts w:ascii="Symbol" w:hAnsi="Symbol" w:hint="default"/>
      </w:rPr>
    </w:lvl>
    <w:lvl w:ilvl="4" w:tplc="08090003" w:tentative="1">
      <w:start w:val="1"/>
      <w:numFmt w:val="bullet"/>
      <w:lvlText w:val="o"/>
      <w:lvlJc w:val="left"/>
      <w:pPr>
        <w:ind w:left="4374" w:hanging="360"/>
      </w:pPr>
      <w:rPr>
        <w:rFonts w:ascii="Courier New" w:hAnsi="Courier New" w:cs="Courier New" w:hint="default"/>
      </w:rPr>
    </w:lvl>
    <w:lvl w:ilvl="5" w:tplc="08090005" w:tentative="1">
      <w:start w:val="1"/>
      <w:numFmt w:val="bullet"/>
      <w:lvlText w:val=""/>
      <w:lvlJc w:val="left"/>
      <w:pPr>
        <w:ind w:left="5094" w:hanging="360"/>
      </w:pPr>
      <w:rPr>
        <w:rFonts w:ascii="Wingdings" w:hAnsi="Wingdings" w:hint="default"/>
      </w:rPr>
    </w:lvl>
    <w:lvl w:ilvl="6" w:tplc="08090001" w:tentative="1">
      <w:start w:val="1"/>
      <w:numFmt w:val="bullet"/>
      <w:lvlText w:val=""/>
      <w:lvlJc w:val="left"/>
      <w:pPr>
        <w:ind w:left="5814" w:hanging="360"/>
      </w:pPr>
      <w:rPr>
        <w:rFonts w:ascii="Symbol" w:hAnsi="Symbol" w:hint="default"/>
      </w:rPr>
    </w:lvl>
    <w:lvl w:ilvl="7" w:tplc="08090003" w:tentative="1">
      <w:start w:val="1"/>
      <w:numFmt w:val="bullet"/>
      <w:lvlText w:val="o"/>
      <w:lvlJc w:val="left"/>
      <w:pPr>
        <w:ind w:left="6534" w:hanging="360"/>
      </w:pPr>
      <w:rPr>
        <w:rFonts w:ascii="Courier New" w:hAnsi="Courier New" w:cs="Courier New" w:hint="default"/>
      </w:rPr>
    </w:lvl>
    <w:lvl w:ilvl="8" w:tplc="08090005" w:tentative="1">
      <w:start w:val="1"/>
      <w:numFmt w:val="bullet"/>
      <w:lvlText w:val=""/>
      <w:lvlJc w:val="left"/>
      <w:pPr>
        <w:ind w:left="7254" w:hanging="360"/>
      </w:pPr>
      <w:rPr>
        <w:rFonts w:ascii="Wingdings" w:hAnsi="Wingdings" w:hint="default"/>
      </w:rPr>
    </w:lvl>
  </w:abstractNum>
  <w:abstractNum w:abstractNumId="29" w15:restartNumberingAfterBreak="0">
    <w:nsid w:val="75E223DA"/>
    <w:multiLevelType w:val="hybridMultilevel"/>
    <w:tmpl w:val="5B7ACB42"/>
    <w:lvl w:ilvl="0" w:tplc="3A60C988">
      <w:start w:val="1"/>
      <w:numFmt w:val="bullet"/>
      <w:pStyle w:val="Bullet2G"/>
      <w:lvlText w:val="•"/>
      <w:lvlJc w:val="left"/>
      <w:pPr>
        <w:tabs>
          <w:tab w:val="num" w:pos="2268"/>
        </w:tabs>
        <w:ind w:left="2268" w:hanging="170"/>
      </w:pPr>
      <w:rPr>
        <w:rFonts w:ascii="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787696099">
    <w:abstractNumId w:val="1"/>
  </w:num>
  <w:num w:numId="2" w16cid:durableId="425349924">
    <w:abstractNumId w:val="0"/>
  </w:num>
  <w:num w:numId="3" w16cid:durableId="1387491442">
    <w:abstractNumId w:val="2"/>
  </w:num>
  <w:num w:numId="4" w16cid:durableId="162748982">
    <w:abstractNumId w:val="3"/>
  </w:num>
  <w:num w:numId="5" w16cid:durableId="21515746">
    <w:abstractNumId w:val="8"/>
  </w:num>
  <w:num w:numId="6" w16cid:durableId="280460651">
    <w:abstractNumId w:val="9"/>
  </w:num>
  <w:num w:numId="7" w16cid:durableId="950892174">
    <w:abstractNumId w:val="7"/>
  </w:num>
  <w:num w:numId="8" w16cid:durableId="1869642051">
    <w:abstractNumId w:val="6"/>
  </w:num>
  <w:num w:numId="9" w16cid:durableId="1147749782">
    <w:abstractNumId w:val="5"/>
  </w:num>
  <w:num w:numId="10" w16cid:durableId="1582566970">
    <w:abstractNumId w:val="4"/>
  </w:num>
  <w:num w:numId="11" w16cid:durableId="1864632774">
    <w:abstractNumId w:val="19"/>
  </w:num>
  <w:num w:numId="12" w16cid:durableId="385616245">
    <w:abstractNumId w:val="17"/>
  </w:num>
  <w:num w:numId="13" w16cid:durableId="228154894">
    <w:abstractNumId w:val="10"/>
  </w:num>
  <w:num w:numId="14" w16cid:durableId="2136752103">
    <w:abstractNumId w:val="15"/>
  </w:num>
  <w:num w:numId="15" w16cid:durableId="1154369457">
    <w:abstractNumId w:val="21"/>
  </w:num>
  <w:num w:numId="16" w16cid:durableId="569266672">
    <w:abstractNumId w:val="16"/>
  </w:num>
  <w:num w:numId="17" w16cid:durableId="899098265">
    <w:abstractNumId w:val="25"/>
  </w:num>
  <w:num w:numId="18" w16cid:durableId="102846527">
    <w:abstractNumId w:val="29"/>
  </w:num>
  <w:num w:numId="19" w16cid:durableId="1132596008">
    <w:abstractNumId w:val="13"/>
  </w:num>
  <w:num w:numId="20" w16cid:durableId="692998370">
    <w:abstractNumId w:val="20"/>
  </w:num>
  <w:num w:numId="21" w16cid:durableId="1063993376">
    <w:abstractNumId w:val="14"/>
  </w:num>
  <w:num w:numId="22" w16cid:durableId="978534117">
    <w:abstractNumId w:val="25"/>
  </w:num>
  <w:num w:numId="23" w16cid:durableId="471019302">
    <w:abstractNumId w:val="25"/>
  </w:num>
  <w:num w:numId="24" w16cid:durableId="2087799069">
    <w:abstractNumId w:val="25"/>
  </w:num>
  <w:num w:numId="25" w16cid:durableId="348023108">
    <w:abstractNumId w:val="27"/>
  </w:num>
  <w:num w:numId="26" w16cid:durableId="300963780">
    <w:abstractNumId w:val="23"/>
  </w:num>
  <w:num w:numId="27" w16cid:durableId="954482396">
    <w:abstractNumId w:val="18"/>
  </w:num>
  <w:num w:numId="28" w16cid:durableId="1302998032">
    <w:abstractNumId w:val="26"/>
  </w:num>
  <w:num w:numId="29" w16cid:durableId="301888334">
    <w:abstractNumId w:val="12"/>
  </w:num>
  <w:num w:numId="30" w16cid:durableId="1267467154">
    <w:abstractNumId w:val="24"/>
  </w:num>
  <w:num w:numId="31" w16cid:durableId="818612852">
    <w:abstractNumId w:val="22"/>
  </w:num>
  <w:num w:numId="32" w16cid:durableId="610211966">
    <w:abstractNumId w:val="11"/>
  </w:num>
  <w:num w:numId="33" w16cid:durableId="1237978269">
    <w:abstractNumId w:val="25"/>
  </w:num>
  <w:num w:numId="34" w16cid:durableId="487986644">
    <w:abstractNumId w:val="25"/>
  </w:num>
  <w:num w:numId="35" w16cid:durableId="364790693">
    <w:abstractNumId w:val="25"/>
  </w:num>
  <w:num w:numId="36" w16cid:durableId="1471023586">
    <w:abstractNumId w:val="25"/>
  </w:num>
  <w:num w:numId="37" w16cid:durableId="1556812585">
    <w:abstractNumId w:val="25"/>
  </w:num>
  <w:num w:numId="38" w16cid:durableId="1183975807">
    <w:abstractNumId w:val="25"/>
  </w:num>
  <w:num w:numId="39" w16cid:durableId="29576222">
    <w:abstractNumId w:val="25"/>
  </w:num>
  <w:num w:numId="40" w16cid:durableId="1658996992">
    <w:abstractNumId w:val="25"/>
  </w:num>
  <w:num w:numId="41" w16cid:durableId="1040279014">
    <w:abstractNumId w:val="25"/>
  </w:num>
  <w:num w:numId="42" w16cid:durableId="1654917335">
    <w:abstractNumId w:val="28"/>
  </w:num>
  <w:num w:numId="43" w16cid:durableId="1598095414">
    <w:abstractNumId w:val="25"/>
  </w:num>
  <w:num w:numId="44" w16cid:durableId="879587656">
    <w:abstractNumId w:val="25"/>
  </w:num>
  <w:num w:numId="45" w16cid:durableId="654533683">
    <w:abstractNumId w:val="2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activeWritingStyle w:appName="MSWord" w:lang="en-GB" w:vendorID="64" w:dllVersion="5" w:nlCheck="1" w:checkStyle="1"/>
  <w:activeWritingStyle w:appName="MSWord" w:lang="en-GB" w:vendorID="64" w:dllVersion="6" w:nlCheck="1" w:checkStyle="1"/>
  <w:activeWritingStyle w:appName="MSWord" w:lang="en-US" w:vendorID="64" w:dllVersion="0" w:nlCheck="1" w:checkStyle="0"/>
  <w:activeWritingStyle w:appName="MSWord" w:lang="en-GB" w:vendorID="64" w:dllVersion="0" w:nlCheck="1" w:checkStyle="0"/>
  <w:activeWritingStyle w:appName="MSWord" w:lang="fr-CH" w:vendorID="64" w:dllVersion="0" w:nlCheck="1" w:checkStyle="0"/>
  <w:activeWritingStyle w:appName="MSWord" w:lang="fr-FR" w:vendorID="64" w:dllVersion="0" w:nlCheck="1" w:checkStyle="0"/>
  <w:activeWritingStyle w:appName="MSWord" w:lang="es-ES" w:vendorID="64" w:dllVersion="0" w:nlCheck="1" w:checkStyle="0"/>
  <w:activeWritingStyle w:appName="MSWord" w:lang="ja-JP" w:vendorID="64" w:dllVersion="0" w:nlCheck="1"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357"/>
  <w:doNotHyphenateCaps/>
  <w:evenAndOddHeaders/>
  <w:displayHorizontalDrawingGridEvery w:val="0"/>
  <w:displayVerticalDrawingGridEvery w:val="0"/>
  <w:doNotUseMarginsForDrawingGridOrigin/>
  <w:noPunctuationKerning/>
  <w:characterSpacingControl w:val="doNotCompress"/>
  <w:hdrShapeDefaults>
    <o:shapedefaults v:ext="edit" spidmax="2050">
      <v:textbox inset="5.85pt,.7pt,5.85pt,.7pt"/>
    </o:shapedefaults>
  </w:hdrShapeDefaults>
  <w:footnotePr>
    <w:footnote w:id="-1"/>
    <w:footnote w:id="0"/>
    <w:footnote w:id="1"/>
  </w:footnotePr>
  <w:endnotePr>
    <w:numFmt w:val="decimal"/>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sLQ0MTMwMTIytDAyNrNU0lEKTi0uzszPAykwrQUAOkEu1iwAAAA="/>
  </w:docVars>
  <w:rsids>
    <w:rsidRoot w:val="00CC3D65"/>
    <w:rsid w:val="00000EDC"/>
    <w:rsid w:val="00001A85"/>
    <w:rsid w:val="00002A7D"/>
    <w:rsid w:val="000038A8"/>
    <w:rsid w:val="00004847"/>
    <w:rsid w:val="00005466"/>
    <w:rsid w:val="00006790"/>
    <w:rsid w:val="00007A65"/>
    <w:rsid w:val="00014603"/>
    <w:rsid w:val="000156C8"/>
    <w:rsid w:val="0001743C"/>
    <w:rsid w:val="0002017A"/>
    <w:rsid w:val="00023111"/>
    <w:rsid w:val="0002466E"/>
    <w:rsid w:val="0002467B"/>
    <w:rsid w:val="00026BB4"/>
    <w:rsid w:val="00026C96"/>
    <w:rsid w:val="000271D1"/>
    <w:rsid w:val="00027624"/>
    <w:rsid w:val="00031677"/>
    <w:rsid w:val="00032804"/>
    <w:rsid w:val="00032A5A"/>
    <w:rsid w:val="00033AFE"/>
    <w:rsid w:val="00033FAA"/>
    <w:rsid w:val="00037957"/>
    <w:rsid w:val="00037A20"/>
    <w:rsid w:val="00040C16"/>
    <w:rsid w:val="00040EC1"/>
    <w:rsid w:val="00042939"/>
    <w:rsid w:val="000437E0"/>
    <w:rsid w:val="00045359"/>
    <w:rsid w:val="000478E6"/>
    <w:rsid w:val="00050F6B"/>
    <w:rsid w:val="0005104A"/>
    <w:rsid w:val="00051C4E"/>
    <w:rsid w:val="0005319E"/>
    <w:rsid w:val="00053DD6"/>
    <w:rsid w:val="00060DCF"/>
    <w:rsid w:val="0006200A"/>
    <w:rsid w:val="00064B0A"/>
    <w:rsid w:val="000664AB"/>
    <w:rsid w:val="0006661B"/>
    <w:rsid w:val="000678CD"/>
    <w:rsid w:val="00070E46"/>
    <w:rsid w:val="000713B5"/>
    <w:rsid w:val="00072481"/>
    <w:rsid w:val="00072C8C"/>
    <w:rsid w:val="00073320"/>
    <w:rsid w:val="00076715"/>
    <w:rsid w:val="00077E7E"/>
    <w:rsid w:val="0008062E"/>
    <w:rsid w:val="00081AA3"/>
    <w:rsid w:val="00081CE0"/>
    <w:rsid w:val="00082D64"/>
    <w:rsid w:val="00084D30"/>
    <w:rsid w:val="00090320"/>
    <w:rsid w:val="00091FCF"/>
    <w:rsid w:val="000931C0"/>
    <w:rsid w:val="00094150"/>
    <w:rsid w:val="000A1ECC"/>
    <w:rsid w:val="000A256A"/>
    <w:rsid w:val="000A2E09"/>
    <w:rsid w:val="000A30DE"/>
    <w:rsid w:val="000A3A28"/>
    <w:rsid w:val="000A44FA"/>
    <w:rsid w:val="000A57B1"/>
    <w:rsid w:val="000A5E6A"/>
    <w:rsid w:val="000A784F"/>
    <w:rsid w:val="000A7C39"/>
    <w:rsid w:val="000B0014"/>
    <w:rsid w:val="000B1188"/>
    <w:rsid w:val="000B175B"/>
    <w:rsid w:val="000B1C04"/>
    <w:rsid w:val="000B1C07"/>
    <w:rsid w:val="000B2439"/>
    <w:rsid w:val="000B3A0F"/>
    <w:rsid w:val="000B498D"/>
    <w:rsid w:val="000B6F86"/>
    <w:rsid w:val="000C132A"/>
    <w:rsid w:val="000C3510"/>
    <w:rsid w:val="000C5871"/>
    <w:rsid w:val="000C5934"/>
    <w:rsid w:val="000C7BA3"/>
    <w:rsid w:val="000D0E70"/>
    <w:rsid w:val="000D10DF"/>
    <w:rsid w:val="000D20F4"/>
    <w:rsid w:val="000D3A7C"/>
    <w:rsid w:val="000E0415"/>
    <w:rsid w:val="000E40FE"/>
    <w:rsid w:val="000F100A"/>
    <w:rsid w:val="000F2576"/>
    <w:rsid w:val="000F4F52"/>
    <w:rsid w:val="000F5191"/>
    <w:rsid w:val="000F6C1C"/>
    <w:rsid w:val="000F6E4A"/>
    <w:rsid w:val="000F7715"/>
    <w:rsid w:val="000F7BF1"/>
    <w:rsid w:val="00100B5B"/>
    <w:rsid w:val="00100DE2"/>
    <w:rsid w:val="00101047"/>
    <w:rsid w:val="00107670"/>
    <w:rsid w:val="00110471"/>
    <w:rsid w:val="00110527"/>
    <w:rsid w:val="001120A7"/>
    <w:rsid w:val="00113098"/>
    <w:rsid w:val="00114062"/>
    <w:rsid w:val="00115F6D"/>
    <w:rsid w:val="00117A05"/>
    <w:rsid w:val="0012142A"/>
    <w:rsid w:val="0012273C"/>
    <w:rsid w:val="001230CC"/>
    <w:rsid w:val="0012504D"/>
    <w:rsid w:val="00130DDE"/>
    <w:rsid w:val="0013142C"/>
    <w:rsid w:val="001323BE"/>
    <w:rsid w:val="00132A12"/>
    <w:rsid w:val="00132C77"/>
    <w:rsid w:val="00132E05"/>
    <w:rsid w:val="00133458"/>
    <w:rsid w:val="00133782"/>
    <w:rsid w:val="00135423"/>
    <w:rsid w:val="00135548"/>
    <w:rsid w:val="0013614F"/>
    <w:rsid w:val="00137E4E"/>
    <w:rsid w:val="00140B1B"/>
    <w:rsid w:val="00142BE0"/>
    <w:rsid w:val="00144421"/>
    <w:rsid w:val="00145566"/>
    <w:rsid w:val="001508E3"/>
    <w:rsid w:val="00151A15"/>
    <w:rsid w:val="00154A47"/>
    <w:rsid w:val="00156B99"/>
    <w:rsid w:val="00160F70"/>
    <w:rsid w:val="0016361B"/>
    <w:rsid w:val="0016379B"/>
    <w:rsid w:val="00166124"/>
    <w:rsid w:val="00166EFF"/>
    <w:rsid w:val="00166FF9"/>
    <w:rsid w:val="00167FF3"/>
    <w:rsid w:val="001714E6"/>
    <w:rsid w:val="00171B3D"/>
    <w:rsid w:val="00172602"/>
    <w:rsid w:val="00172DEC"/>
    <w:rsid w:val="001749EF"/>
    <w:rsid w:val="00174C49"/>
    <w:rsid w:val="001752E7"/>
    <w:rsid w:val="0017610E"/>
    <w:rsid w:val="00183318"/>
    <w:rsid w:val="00184DDA"/>
    <w:rsid w:val="00185055"/>
    <w:rsid w:val="0018770D"/>
    <w:rsid w:val="00187F84"/>
    <w:rsid w:val="00190049"/>
    <w:rsid w:val="001900CD"/>
    <w:rsid w:val="00190F7A"/>
    <w:rsid w:val="00193E04"/>
    <w:rsid w:val="00194421"/>
    <w:rsid w:val="001959BA"/>
    <w:rsid w:val="00197B6E"/>
    <w:rsid w:val="001A0452"/>
    <w:rsid w:val="001A0F77"/>
    <w:rsid w:val="001A2107"/>
    <w:rsid w:val="001A252C"/>
    <w:rsid w:val="001A4391"/>
    <w:rsid w:val="001A4446"/>
    <w:rsid w:val="001A5644"/>
    <w:rsid w:val="001A5E46"/>
    <w:rsid w:val="001A70FB"/>
    <w:rsid w:val="001B24A3"/>
    <w:rsid w:val="001B3B8D"/>
    <w:rsid w:val="001B4B04"/>
    <w:rsid w:val="001B5875"/>
    <w:rsid w:val="001B7E41"/>
    <w:rsid w:val="001C0D28"/>
    <w:rsid w:val="001C3B72"/>
    <w:rsid w:val="001C3F10"/>
    <w:rsid w:val="001C4B9C"/>
    <w:rsid w:val="001C573F"/>
    <w:rsid w:val="001C6663"/>
    <w:rsid w:val="001C7895"/>
    <w:rsid w:val="001C7949"/>
    <w:rsid w:val="001D2124"/>
    <w:rsid w:val="001D2559"/>
    <w:rsid w:val="001D26DF"/>
    <w:rsid w:val="001D5341"/>
    <w:rsid w:val="001D6C38"/>
    <w:rsid w:val="001D7BD7"/>
    <w:rsid w:val="001E01A2"/>
    <w:rsid w:val="001E123A"/>
    <w:rsid w:val="001E24AC"/>
    <w:rsid w:val="001E3E20"/>
    <w:rsid w:val="001E4AAA"/>
    <w:rsid w:val="001E5145"/>
    <w:rsid w:val="001E516A"/>
    <w:rsid w:val="001E59CA"/>
    <w:rsid w:val="001E62E4"/>
    <w:rsid w:val="001E77D0"/>
    <w:rsid w:val="001E7A74"/>
    <w:rsid w:val="001E7AB6"/>
    <w:rsid w:val="001F1599"/>
    <w:rsid w:val="001F19C4"/>
    <w:rsid w:val="001F3B4D"/>
    <w:rsid w:val="001F7739"/>
    <w:rsid w:val="0020225A"/>
    <w:rsid w:val="002043F0"/>
    <w:rsid w:val="0020568F"/>
    <w:rsid w:val="002073CB"/>
    <w:rsid w:val="00210E36"/>
    <w:rsid w:val="00211E0B"/>
    <w:rsid w:val="00211F84"/>
    <w:rsid w:val="002137C6"/>
    <w:rsid w:val="00213D08"/>
    <w:rsid w:val="00216709"/>
    <w:rsid w:val="00216A03"/>
    <w:rsid w:val="002219C0"/>
    <w:rsid w:val="0023027F"/>
    <w:rsid w:val="00231CD8"/>
    <w:rsid w:val="00232002"/>
    <w:rsid w:val="00232575"/>
    <w:rsid w:val="002329DF"/>
    <w:rsid w:val="00232FEE"/>
    <w:rsid w:val="0023372D"/>
    <w:rsid w:val="00237DE0"/>
    <w:rsid w:val="00242A51"/>
    <w:rsid w:val="002436E9"/>
    <w:rsid w:val="00247258"/>
    <w:rsid w:val="00251287"/>
    <w:rsid w:val="002532EE"/>
    <w:rsid w:val="00256206"/>
    <w:rsid w:val="00257CAC"/>
    <w:rsid w:val="002602BB"/>
    <w:rsid w:val="0026180C"/>
    <w:rsid w:val="00262A8F"/>
    <w:rsid w:val="0026374C"/>
    <w:rsid w:val="0026380F"/>
    <w:rsid w:val="00263901"/>
    <w:rsid w:val="00263EA9"/>
    <w:rsid w:val="00264C6C"/>
    <w:rsid w:val="00270460"/>
    <w:rsid w:val="0027237A"/>
    <w:rsid w:val="00273415"/>
    <w:rsid w:val="00273F94"/>
    <w:rsid w:val="00276F44"/>
    <w:rsid w:val="002772AF"/>
    <w:rsid w:val="00277393"/>
    <w:rsid w:val="00281ED3"/>
    <w:rsid w:val="00282566"/>
    <w:rsid w:val="00283000"/>
    <w:rsid w:val="00283B96"/>
    <w:rsid w:val="00285680"/>
    <w:rsid w:val="00285FDE"/>
    <w:rsid w:val="002947EC"/>
    <w:rsid w:val="0029499E"/>
    <w:rsid w:val="00295C24"/>
    <w:rsid w:val="00295E72"/>
    <w:rsid w:val="002962D9"/>
    <w:rsid w:val="002974E9"/>
    <w:rsid w:val="002A00DA"/>
    <w:rsid w:val="002A744F"/>
    <w:rsid w:val="002A7F94"/>
    <w:rsid w:val="002B109A"/>
    <w:rsid w:val="002B293F"/>
    <w:rsid w:val="002B30AA"/>
    <w:rsid w:val="002B379E"/>
    <w:rsid w:val="002B4B06"/>
    <w:rsid w:val="002B6725"/>
    <w:rsid w:val="002B7447"/>
    <w:rsid w:val="002C049B"/>
    <w:rsid w:val="002C112D"/>
    <w:rsid w:val="002C3593"/>
    <w:rsid w:val="002C653D"/>
    <w:rsid w:val="002C6D45"/>
    <w:rsid w:val="002C7890"/>
    <w:rsid w:val="002D0A1B"/>
    <w:rsid w:val="002D1529"/>
    <w:rsid w:val="002D4436"/>
    <w:rsid w:val="002D6E53"/>
    <w:rsid w:val="002E4919"/>
    <w:rsid w:val="002E6BCF"/>
    <w:rsid w:val="002F046D"/>
    <w:rsid w:val="002F3023"/>
    <w:rsid w:val="002F3251"/>
    <w:rsid w:val="002F3B5F"/>
    <w:rsid w:val="002F3F19"/>
    <w:rsid w:val="002F46C1"/>
    <w:rsid w:val="002F48D1"/>
    <w:rsid w:val="002F4A24"/>
    <w:rsid w:val="002F4CD4"/>
    <w:rsid w:val="002F5148"/>
    <w:rsid w:val="002F66A8"/>
    <w:rsid w:val="002F6C43"/>
    <w:rsid w:val="00301764"/>
    <w:rsid w:val="00301B1F"/>
    <w:rsid w:val="003110D4"/>
    <w:rsid w:val="003121D8"/>
    <w:rsid w:val="00312AE2"/>
    <w:rsid w:val="00313BB0"/>
    <w:rsid w:val="00316003"/>
    <w:rsid w:val="003220B1"/>
    <w:rsid w:val="00322787"/>
    <w:rsid w:val="00322922"/>
    <w:rsid w:val="003229D8"/>
    <w:rsid w:val="003247F2"/>
    <w:rsid w:val="00332161"/>
    <w:rsid w:val="00333C26"/>
    <w:rsid w:val="00334D10"/>
    <w:rsid w:val="00334E56"/>
    <w:rsid w:val="00335644"/>
    <w:rsid w:val="00336550"/>
    <w:rsid w:val="00336C97"/>
    <w:rsid w:val="00337F88"/>
    <w:rsid w:val="00341273"/>
    <w:rsid w:val="00342432"/>
    <w:rsid w:val="00347EEC"/>
    <w:rsid w:val="00350A3E"/>
    <w:rsid w:val="00350D3B"/>
    <w:rsid w:val="0035223F"/>
    <w:rsid w:val="00352288"/>
    <w:rsid w:val="003529F5"/>
    <w:rsid w:val="00352D4B"/>
    <w:rsid w:val="00355A23"/>
    <w:rsid w:val="0035638C"/>
    <w:rsid w:val="003570F8"/>
    <w:rsid w:val="00364C6C"/>
    <w:rsid w:val="003654CF"/>
    <w:rsid w:val="00366413"/>
    <w:rsid w:val="003669B2"/>
    <w:rsid w:val="00366CA1"/>
    <w:rsid w:val="0036718F"/>
    <w:rsid w:val="00370D7C"/>
    <w:rsid w:val="00371F9C"/>
    <w:rsid w:val="0037258A"/>
    <w:rsid w:val="0037387C"/>
    <w:rsid w:val="00373A31"/>
    <w:rsid w:val="003771B9"/>
    <w:rsid w:val="00380E08"/>
    <w:rsid w:val="003845A3"/>
    <w:rsid w:val="00384A26"/>
    <w:rsid w:val="0038507C"/>
    <w:rsid w:val="00386DE7"/>
    <w:rsid w:val="003870E6"/>
    <w:rsid w:val="00392037"/>
    <w:rsid w:val="00392060"/>
    <w:rsid w:val="00392116"/>
    <w:rsid w:val="0039674A"/>
    <w:rsid w:val="00397056"/>
    <w:rsid w:val="003A0E26"/>
    <w:rsid w:val="003A1587"/>
    <w:rsid w:val="003A2189"/>
    <w:rsid w:val="003A269C"/>
    <w:rsid w:val="003A3DD0"/>
    <w:rsid w:val="003A46BB"/>
    <w:rsid w:val="003A4EC7"/>
    <w:rsid w:val="003A5A10"/>
    <w:rsid w:val="003A7295"/>
    <w:rsid w:val="003B05B9"/>
    <w:rsid w:val="003B0C72"/>
    <w:rsid w:val="003B12EE"/>
    <w:rsid w:val="003B15B6"/>
    <w:rsid w:val="003B1F60"/>
    <w:rsid w:val="003B33F3"/>
    <w:rsid w:val="003B4D1A"/>
    <w:rsid w:val="003B5A0E"/>
    <w:rsid w:val="003C1405"/>
    <w:rsid w:val="003C2CC4"/>
    <w:rsid w:val="003C3CEF"/>
    <w:rsid w:val="003C6AA6"/>
    <w:rsid w:val="003D2BF1"/>
    <w:rsid w:val="003D49A1"/>
    <w:rsid w:val="003D4B23"/>
    <w:rsid w:val="003D52E8"/>
    <w:rsid w:val="003D5A50"/>
    <w:rsid w:val="003E06CD"/>
    <w:rsid w:val="003E07AE"/>
    <w:rsid w:val="003E0A7E"/>
    <w:rsid w:val="003E23FE"/>
    <w:rsid w:val="003E278A"/>
    <w:rsid w:val="003E46B6"/>
    <w:rsid w:val="003E46C5"/>
    <w:rsid w:val="003E4B04"/>
    <w:rsid w:val="003E603E"/>
    <w:rsid w:val="003F5D61"/>
    <w:rsid w:val="003F68B1"/>
    <w:rsid w:val="003F6A8A"/>
    <w:rsid w:val="003F7843"/>
    <w:rsid w:val="00400022"/>
    <w:rsid w:val="00400D5C"/>
    <w:rsid w:val="0040333B"/>
    <w:rsid w:val="00404FBA"/>
    <w:rsid w:val="004068DE"/>
    <w:rsid w:val="00406C18"/>
    <w:rsid w:val="00406FF5"/>
    <w:rsid w:val="00410040"/>
    <w:rsid w:val="004112F9"/>
    <w:rsid w:val="004114D2"/>
    <w:rsid w:val="00413520"/>
    <w:rsid w:val="0041363B"/>
    <w:rsid w:val="0041486A"/>
    <w:rsid w:val="0041511A"/>
    <w:rsid w:val="004160C6"/>
    <w:rsid w:val="004166B7"/>
    <w:rsid w:val="004207BE"/>
    <w:rsid w:val="00421B9C"/>
    <w:rsid w:val="004225A4"/>
    <w:rsid w:val="004225B2"/>
    <w:rsid w:val="00423AFD"/>
    <w:rsid w:val="00424149"/>
    <w:rsid w:val="00426CD4"/>
    <w:rsid w:val="00427221"/>
    <w:rsid w:val="004303BE"/>
    <w:rsid w:val="00430510"/>
    <w:rsid w:val="00431C44"/>
    <w:rsid w:val="004325CB"/>
    <w:rsid w:val="00432639"/>
    <w:rsid w:val="00433B69"/>
    <w:rsid w:val="00440A07"/>
    <w:rsid w:val="0044222B"/>
    <w:rsid w:val="00447D6B"/>
    <w:rsid w:val="0045061B"/>
    <w:rsid w:val="004506F4"/>
    <w:rsid w:val="00462880"/>
    <w:rsid w:val="00462E95"/>
    <w:rsid w:val="00467FA4"/>
    <w:rsid w:val="00471298"/>
    <w:rsid w:val="00471B41"/>
    <w:rsid w:val="004751AE"/>
    <w:rsid w:val="004768FA"/>
    <w:rsid w:val="00476C80"/>
    <w:rsid w:val="00476F24"/>
    <w:rsid w:val="004822BA"/>
    <w:rsid w:val="00482D87"/>
    <w:rsid w:val="00486679"/>
    <w:rsid w:val="00486DC2"/>
    <w:rsid w:val="00490155"/>
    <w:rsid w:val="00490734"/>
    <w:rsid w:val="004910F1"/>
    <w:rsid w:val="00492A7E"/>
    <w:rsid w:val="00493D2D"/>
    <w:rsid w:val="00496574"/>
    <w:rsid w:val="004A221E"/>
    <w:rsid w:val="004A7A41"/>
    <w:rsid w:val="004B1380"/>
    <w:rsid w:val="004B2244"/>
    <w:rsid w:val="004B28DF"/>
    <w:rsid w:val="004B424B"/>
    <w:rsid w:val="004B4D99"/>
    <w:rsid w:val="004B527E"/>
    <w:rsid w:val="004B6884"/>
    <w:rsid w:val="004C129D"/>
    <w:rsid w:val="004C18B1"/>
    <w:rsid w:val="004C2009"/>
    <w:rsid w:val="004C55B0"/>
    <w:rsid w:val="004D35A6"/>
    <w:rsid w:val="004D4138"/>
    <w:rsid w:val="004D4A78"/>
    <w:rsid w:val="004D619A"/>
    <w:rsid w:val="004D7FED"/>
    <w:rsid w:val="004E0A51"/>
    <w:rsid w:val="004E151E"/>
    <w:rsid w:val="004E16F8"/>
    <w:rsid w:val="004E1989"/>
    <w:rsid w:val="004F06C8"/>
    <w:rsid w:val="004F0D5E"/>
    <w:rsid w:val="004F14AC"/>
    <w:rsid w:val="004F2D92"/>
    <w:rsid w:val="004F3E39"/>
    <w:rsid w:val="004F4C0B"/>
    <w:rsid w:val="004F4C7B"/>
    <w:rsid w:val="004F5DA1"/>
    <w:rsid w:val="004F6BA0"/>
    <w:rsid w:val="00501D30"/>
    <w:rsid w:val="00502CDD"/>
    <w:rsid w:val="00503BEA"/>
    <w:rsid w:val="00503F0C"/>
    <w:rsid w:val="00506DDA"/>
    <w:rsid w:val="00510E81"/>
    <w:rsid w:val="0051150E"/>
    <w:rsid w:val="0051514B"/>
    <w:rsid w:val="00520A8F"/>
    <w:rsid w:val="005219DC"/>
    <w:rsid w:val="005238F0"/>
    <w:rsid w:val="00523AC7"/>
    <w:rsid w:val="00523FDB"/>
    <w:rsid w:val="00524693"/>
    <w:rsid w:val="00524CC5"/>
    <w:rsid w:val="00524E35"/>
    <w:rsid w:val="0052594F"/>
    <w:rsid w:val="00526D73"/>
    <w:rsid w:val="005277EB"/>
    <w:rsid w:val="0053026F"/>
    <w:rsid w:val="00533616"/>
    <w:rsid w:val="00534F2B"/>
    <w:rsid w:val="005351B1"/>
    <w:rsid w:val="00535ABA"/>
    <w:rsid w:val="00536802"/>
    <w:rsid w:val="0053768B"/>
    <w:rsid w:val="005420F2"/>
    <w:rsid w:val="0054285C"/>
    <w:rsid w:val="00544CD7"/>
    <w:rsid w:val="00546F8F"/>
    <w:rsid w:val="005566CC"/>
    <w:rsid w:val="00557389"/>
    <w:rsid w:val="00557966"/>
    <w:rsid w:val="00557BE7"/>
    <w:rsid w:val="005604F9"/>
    <w:rsid w:val="0056250A"/>
    <w:rsid w:val="0056295C"/>
    <w:rsid w:val="00563D11"/>
    <w:rsid w:val="0056547A"/>
    <w:rsid w:val="00565B31"/>
    <w:rsid w:val="00566990"/>
    <w:rsid w:val="005677DB"/>
    <w:rsid w:val="00570388"/>
    <w:rsid w:val="005709B0"/>
    <w:rsid w:val="00570F09"/>
    <w:rsid w:val="00572CE9"/>
    <w:rsid w:val="00573ED9"/>
    <w:rsid w:val="00573F48"/>
    <w:rsid w:val="005758ED"/>
    <w:rsid w:val="0057605C"/>
    <w:rsid w:val="005770C3"/>
    <w:rsid w:val="0058104A"/>
    <w:rsid w:val="00582593"/>
    <w:rsid w:val="0058331D"/>
    <w:rsid w:val="005834A9"/>
    <w:rsid w:val="00584173"/>
    <w:rsid w:val="00584CBC"/>
    <w:rsid w:val="005859B4"/>
    <w:rsid w:val="00590073"/>
    <w:rsid w:val="0059138C"/>
    <w:rsid w:val="005917C0"/>
    <w:rsid w:val="00592E60"/>
    <w:rsid w:val="00593934"/>
    <w:rsid w:val="005950B7"/>
    <w:rsid w:val="00595520"/>
    <w:rsid w:val="005964D7"/>
    <w:rsid w:val="00597C2F"/>
    <w:rsid w:val="005A02D5"/>
    <w:rsid w:val="005A2AA7"/>
    <w:rsid w:val="005A44B9"/>
    <w:rsid w:val="005A7277"/>
    <w:rsid w:val="005B1BA0"/>
    <w:rsid w:val="005B2A5B"/>
    <w:rsid w:val="005B3DB3"/>
    <w:rsid w:val="005B3F62"/>
    <w:rsid w:val="005B5456"/>
    <w:rsid w:val="005B61E9"/>
    <w:rsid w:val="005B637F"/>
    <w:rsid w:val="005B7192"/>
    <w:rsid w:val="005C016E"/>
    <w:rsid w:val="005C3522"/>
    <w:rsid w:val="005C3AF4"/>
    <w:rsid w:val="005C5B00"/>
    <w:rsid w:val="005C718D"/>
    <w:rsid w:val="005C7C7A"/>
    <w:rsid w:val="005C7FF0"/>
    <w:rsid w:val="005D15CA"/>
    <w:rsid w:val="005D1A26"/>
    <w:rsid w:val="005D2796"/>
    <w:rsid w:val="005D3CD6"/>
    <w:rsid w:val="005D764F"/>
    <w:rsid w:val="005D7EB7"/>
    <w:rsid w:val="005E2B37"/>
    <w:rsid w:val="005E4C76"/>
    <w:rsid w:val="005E51EE"/>
    <w:rsid w:val="005E598D"/>
    <w:rsid w:val="005F08DF"/>
    <w:rsid w:val="005F0D76"/>
    <w:rsid w:val="005F2012"/>
    <w:rsid w:val="005F3066"/>
    <w:rsid w:val="005F3E61"/>
    <w:rsid w:val="005F61C9"/>
    <w:rsid w:val="005F651A"/>
    <w:rsid w:val="005F7C1D"/>
    <w:rsid w:val="006006A1"/>
    <w:rsid w:val="00602659"/>
    <w:rsid w:val="006040ED"/>
    <w:rsid w:val="0060481A"/>
    <w:rsid w:val="00604DDD"/>
    <w:rsid w:val="006115CC"/>
    <w:rsid w:val="00611FC4"/>
    <w:rsid w:val="006137C6"/>
    <w:rsid w:val="00615791"/>
    <w:rsid w:val="006176FB"/>
    <w:rsid w:val="00620F19"/>
    <w:rsid w:val="00621159"/>
    <w:rsid w:val="0062174B"/>
    <w:rsid w:val="0062270C"/>
    <w:rsid w:val="00623A41"/>
    <w:rsid w:val="00623CC7"/>
    <w:rsid w:val="006250C5"/>
    <w:rsid w:val="00625EC3"/>
    <w:rsid w:val="00626FA0"/>
    <w:rsid w:val="00630FCB"/>
    <w:rsid w:val="00631C1B"/>
    <w:rsid w:val="006337C6"/>
    <w:rsid w:val="00634727"/>
    <w:rsid w:val="00635D34"/>
    <w:rsid w:val="006366D2"/>
    <w:rsid w:val="00636C1B"/>
    <w:rsid w:val="00636ECB"/>
    <w:rsid w:val="00637681"/>
    <w:rsid w:val="00640B26"/>
    <w:rsid w:val="006428AA"/>
    <w:rsid w:val="00643299"/>
    <w:rsid w:val="00643389"/>
    <w:rsid w:val="0064578B"/>
    <w:rsid w:val="00645DFA"/>
    <w:rsid w:val="00653E3F"/>
    <w:rsid w:val="00655381"/>
    <w:rsid w:val="00656D5F"/>
    <w:rsid w:val="0065766B"/>
    <w:rsid w:val="006579C2"/>
    <w:rsid w:val="006607EE"/>
    <w:rsid w:val="00660F6E"/>
    <w:rsid w:val="006612E4"/>
    <w:rsid w:val="00662F6E"/>
    <w:rsid w:val="00663B25"/>
    <w:rsid w:val="00670309"/>
    <w:rsid w:val="006723F2"/>
    <w:rsid w:val="00673E25"/>
    <w:rsid w:val="00674198"/>
    <w:rsid w:val="00675CE5"/>
    <w:rsid w:val="006770B2"/>
    <w:rsid w:val="00682F87"/>
    <w:rsid w:val="00683663"/>
    <w:rsid w:val="00683DF9"/>
    <w:rsid w:val="006848F5"/>
    <w:rsid w:val="00684DB1"/>
    <w:rsid w:val="00686A48"/>
    <w:rsid w:val="00690423"/>
    <w:rsid w:val="00690D10"/>
    <w:rsid w:val="00690FFB"/>
    <w:rsid w:val="00692153"/>
    <w:rsid w:val="0069230A"/>
    <w:rsid w:val="006927BC"/>
    <w:rsid w:val="00693378"/>
    <w:rsid w:val="006940E1"/>
    <w:rsid w:val="006949DF"/>
    <w:rsid w:val="00694D9E"/>
    <w:rsid w:val="00694ED3"/>
    <w:rsid w:val="00695AF5"/>
    <w:rsid w:val="006A00FB"/>
    <w:rsid w:val="006A16F1"/>
    <w:rsid w:val="006A1CF0"/>
    <w:rsid w:val="006A30DD"/>
    <w:rsid w:val="006A375A"/>
    <w:rsid w:val="006A3C72"/>
    <w:rsid w:val="006A71D9"/>
    <w:rsid w:val="006A7392"/>
    <w:rsid w:val="006B03A1"/>
    <w:rsid w:val="006B2177"/>
    <w:rsid w:val="006B4F0E"/>
    <w:rsid w:val="006B67D9"/>
    <w:rsid w:val="006B7174"/>
    <w:rsid w:val="006B730A"/>
    <w:rsid w:val="006C032B"/>
    <w:rsid w:val="006C2029"/>
    <w:rsid w:val="006C36BD"/>
    <w:rsid w:val="006C3860"/>
    <w:rsid w:val="006C3D9E"/>
    <w:rsid w:val="006C4166"/>
    <w:rsid w:val="006C5535"/>
    <w:rsid w:val="006C63D0"/>
    <w:rsid w:val="006C793D"/>
    <w:rsid w:val="006D0589"/>
    <w:rsid w:val="006D096C"/>
    <w:rsid w:val="006D119C"/>
    <w:rsid w:val="006D2C4B"/>
    <w:rsid w:val="006D368C"/>
    <w:rsid w:val="006D388B"/>
    <w:rsid w:val="006D3D82"/>
    <w:rsid w:val="006D4737"/>
    <w:rsid w:val="006D64D0"/>
    <w:rsid w:val="006D7F95"/>
    <w:rsid w:val="006E0844"/>
    <w:rsid w:val="006E231F"/>
    <w:rsid w:val="006E3C54"/>
    <w:rsid w:val="006E4414"/>
    <w:rsid w:val="006E564B"/>
    <w:rsid w:val="006E7154"/>
    <w:rsid w:val="006E7654"/>
    <w:rsid w:val="006F0034"/>
    <w:rsid w:val="006F0994"/>
    <w:rsid w:val="006F3CCA"/>
    <w:rsid w:val="006F42B5"/>
    <w:rsid w:val="006F4B62"/>
    <w:rsid w:val="006F62EE"/>
    <w:rsid w:val="007003CD"/>
    <w:rsid w:val="00701B28"/>
    <w:rsid w:val="00701C0B"/>
    <w:rsid w:val="007027F7"/>
    <w:rsid w:val="007067EE"/>
    <w:rsid w:val="0070699B"/>
    <w:rsid w:val="00706B3F"/>
    <w:rsid w:val="0070701E"/>
    <w:rsid w:val="007102F6"/>
    <w:rsid w:val="00715597"/>
    <w:rsid w:val="00721DC7"/>
    <w:rsid w:val="0072632A"/>
    <w:rsid w:val="007270A0"/>
    <w:rsid w:val="00730377"/>
    <w:rsid w:val="00732D00"/>
    <w:rsid w:val="0073419C"/>
    <w:rsid w:val="00734851"/>
    <w:rsid w:val="00734963"/>
    <w:rsid w:val="007358E8"/>
    <w:rsid w:val="0073658D"/>
    <w:rsid w:val="00736DFB"/>
    <w:rsid w:val="00736ECE"/>
    <w:rsid w:val="00737D60"/>
    <w:rsid w:val="00741172"/>
    <w:rsid w:val="00743D48"/>
    <w:rsid w:val="00743E8A"/>
    <w:rsid w:val="00744D9C"/>
    <w:rsid w:val="0074533B"/>
    <w:rsid w:val="0074593F"/>
    <w:rsid w:val="0074614A"/>
    <w:rsid w:val="00750129"/>
    <w:rsid w:val="00754F0B"/>
    <w:rsid w:val="00755AE4"/>
    <w:rsid w:val="007565DC"/>
    <w:rsid w:val="00760357"/>
    <w:rsid w:val="007643BC"/>
    <w:rsid w:val="0076559F"/>
    <w:rsid w:val="007658F3"/>
    <w:rsid w:val="00766962"/>
    <w:rsid w:val="007724B7"/>
    <w:rsid w:val="007740CF"/>
    <w:rsid w:val="00775A31"/>
    <w:rsid w:val="00777344"/>
    <w:rsid w:val="00777681"/>
    <w:rsid w:val="007805B1"/>
    <w:rsid w:val="00780723"/>
    <w:rsid w:val="00780BED"/>
    <w:rsid w:val="00780C68"/>
    <w:rsid w:val="00780E65"/>
    <w:rsid w:val="007810D5"/>
    <w:rsid w:val="00781545"/>
    <w:rsid w:val="0078367E"/>
    <w:rsid w:val="00784CB4"/>
    <w:rsid w:val="007850B1"/>
    <w:rsid w:val="00790439"/>
    <w:rsid w:val="007908DF"/>
    <w:rsid w:val="0079096E"/>
    <w:rsid w:val="007947AF"/>
    <w:rsid w:val="007959FE"/>
    <w:rsid w:val="007A01A2"/>
    <w:rsid w:val="007A0CF1"/>
    <w:rsid w:val="007A17ED"/>
    <w:rsid w:val="007A5065"/>
    <w:rsid w:val="007A5B3E"/>
    <w:rsid w:val="007B07E8"/>
    <w:rsid w:val="007B0CEC"/>
    <w:rsid w:val="007B2345"/>
    <w:rsid w:val="007B2B2D"/>
    <w:rsid w:val="007B39D7"/>
    <w:rsid w:val="007B3F95"/>
    <w:rsid w:val="007B5083"/>
    <w:rsid w:val="007B529C"/>
    <w:rsid w:val="007B5A59"/>
    <w:rsid w:val="007B6239"/>
    <w:rsid w:val="007B6BA5"/>
    <w:rsid w:val="007B7DB4"/>
    <w:rsid w:val="007C0613"/>
    <w:rsid w:val="007C2884"/>
    <w:rsid w:val="007C3130"/>
    <w:rsid w:val="007C3390"/>
    <w:rsid w:val="007C42D8"/>
    <w:rsid w:val="007C4F4B"/>
    <w:rsid w:val="007C64AA"/>
    <w:rsid w:val="007C696B"/>
    <w:rsid w:val="007C6ADA"/>
    <w:rsid w:val="007C6D39"/>
    <w:rsid w:val="007C7274"/>
    <w:rsid w:val="007C7F4B"/>
    <w:rsid w:val="007D0A99"/>
    <w:rsid w:val="007D17BC"/>
    <w:rsid w:val="007D1C72"/>
    <w:rsid w:val="007D2E7F"/>
    <w:rsid w:val="007D41BC"/>
    <w:rsid w:val="007D5978"/>
    <w:rsid w:val="007D7362"/>
    <w:rsid w:val="007E1876"/>
    <w:rsid w:val="007E29C5"/>
    <w:rsid w:val="007E355F"/>
    <w:rsid w:val="007E5701"/>
    <w:rsid w:val="007E6498"/>
    <w:rsid w:val="007E7E14"/>
    <w:rsid w:val="007E7F72"/>
    <w:rsid w:val="007F3EDE"/>
    <w:rsid w:val="007F471E"/>
    <w:rsid w:val="007F5CE2"/>
    <w:rsid w:val="007F6611"/>
    <w:rsid w:val="007F7E4B"/>
    <w:rsid w:val="00803333"/>
    <w:rsid w:val="0080374F"/>
    <w:rsid w:val="008062FD"/>
    <w:rsid w:val="00810BAC"/>
    <w:rsid w:val="008147D4"/>
    <w:rsid w:val="00815954"/>
    <w:rsid w:val="00815D8C"/>
    <w:rsid w:val="008165DE"/>
    <w:rsid w:val="008166E0"/>
    <w:rsid w:val="00816A48"/>
    <w:rsid w:val="00816B94"/>
    <w:rsid w:val="008175E9"/>
    <w:rsid w:val="00822760"/>
    <w:rsid w:val="008242D7"/>
    <w:rsid w:val="00824449"/>
    <w:rsid w:val="008246A4"/>
    <w:rsid w:val="0082577B"/>
    <w:rsid w:val="008271B6"/>
    <w:rsid w:val="00831032"/>
    <w:rsid w:val="00831D8A"/>
    <w:rsid w:val="0083240E"/>
    <w:rsid w:val="008324F1"/>
    <w:rsid w:val="0083259C"/>
    <w:rsid w:val="00832DCC"/>
    <w:rsid w:val="0083340D"/>
    <w:rsid w:val="00834B62"/>
    <w:rsid w:val="008356A6"/>
    <w:rsid w:val="00836E17"/>
    <w:rsid w:val="00837298"/>
    <w:rsid w:val="00840410"/>
    <w:rsid w:val="00844DE9"/>
    <w:rsid w:val="0084515A"/>
    <w:rsid w:val="008454D6"/>
    <w:rsid w:val="00853552"/>
    <w:rsid w:val="008574F4"/>
    <w:rsid w:val="00857547"/>
    <w:rsid w:val="0085793D"/>
    <w:rsid w:val="00857BD6"/>
    <w:rsid w:val="00862F51"/>
    <w:rsid w:val="008648C3"/>
    <w:rsid w:val="008656FD"/>
    <w:rsid w:val="00866893"/>
    <w:rsid w:val="00866F02"/>
    <w:rsid w:val="0086714F"/>
    <w:rsid w:val="0086776F"/>
    <w:rsid w:val="00867C63"/>
    <w:rsid w:val="00867D18"/>
    <w:rsid w:val="00867D53"/>
    <w:rsid w:val="00867F98"/>
    <w:rsid w:val="00871129"/>
    <w:rsid w:val="008717D2"/>
    <w:rsid w:val="00871A1E"/>
    <w:rsid w:val="00871F9A"/>
    <w:rsid w:val="00871FD5"/>
    <w:rsid w:val="0087246B"/>
    <w:rsid w:val="00873134"/>
    <w:rsid w:val="008731C3"/>
    <w:rsid w:val="00874F1D"/>
    <w:rsid w:val="00875A93"/>
    <w:rsid w:val="00877717"/>
    <w:rsid w:val="0088172E"/>
    <w:rsid w:val="00881EFA"/>
    <w:rsid w:val="00882573"/>
    <w:rsid w:val="00885F24"/>
    <w:rsid w:val="008879CB"/>
    <w:rsid w:val="00890E62"/>
    <w:rsid w:val="00891FDB"/>
    <w:rsid w:val="00893A28"/>
    <w:rsid w:val="00896185"/>
    <w:rsid w:val="008961C5"/>
    <w:rsid w:val="00896901"/>
    <w:rsid w:val="008979B1"/>
    <w:rsid w:val="008A37C2"/>
    <w:rsid w:val="008A475A"/>
    <w:rsid w:val="008A6A1C"/>
    <w:rsid w:val="008A6B25"/>
    <w:rsid w:val="008A6C4F"/>
    <w:rsid w:val="008B0C27"/>
    <w:rsid w:val="008B0CA7"/>
    <w:rsid w:val="008B0E6B"/>
    <w:rsid w:val="008B2C0E"/>
    <w:rsid w:val="008B2F17"/>
    <w:rsid w:val="008B389E"/>
    <w:rsid w:val="008B6274"/>
    <w:rsid w:val="008C165D"/>
    <w:rsid w:val="008C2581"/>
    <w:rsid w:val="008C5B99"/>
    <w:rsid w:val="008C6812"/>
    <w:rsid w:val="008D045E"/>
    <w:rsid w:val="008D2937"/>
    <w:rsid w:val="008D3E37"/>
    <w:rsid w:val="008D3F25"/>
    <w:rsid w:val="008D4D82"/>
    <w:rsid w:val="008D4FBA"/>
    <w:rsid w:val="008D5050"/>
    <w:rsid w:val="008D61A4"/>
    <w:rsid w:val="008D6A78"/>
    <w:rsid w:val="008D6EEF"/>
    <w:rsid w:val="008D6F6C"/>
    <w:rsid w:val="008E0B5F"/>
    <w:rsid w:val="008E0E46"/>
    <w:rsid w:val="008E0F8A"/>
    <w:rsid w:val="008E32E6"/>
    <w:rsid w:val="008E507A"/>
    <w:rsid w:val="008E535E"/>
    <w:rsid w:val="008E7116"/>
    <w:rsid w:val="008F143B"/>
    <w:rsid w:val="008F1496"/>
    <w:rsid w:val="008F3882"/>
    <w:rsid w:val="008F4B7C"/>
    <w:rsid w:val="008F510F"/>
    <w:rsid w:val="008F7DF8"/>
    <w:rsid w:val="00900014"/>
    <w:rsid w:val="00900E66"/>
    <w:rsid w:val="0090122E"/>
    <w:rsid w:val="00902FAF"/>
    <w:rsid w:val="0090384E"/>
    <w:rsid w:val="0090558F"/>
    <w:rsid w:val="00905EC6"/>
    <w:rsid w:val="00911006"/>
    <w:rsid w:val="00912086"/>
    <w:rsid w:val="0091342C"/>
    <w:rsid w:val="00914206"/>
    <w:rsid w:val="0092105C"/>
    <w:rsid w:val="00922C07"/>
    <w:rsid w:val="0092597D"/>
    <w:rsid w:val="00926E47"/>
    <w:rsid w:val="00927292"/>
    <w:rsid w:val="0093237E"/>
    <w:rsid w:val="0093354C"/>
    <w:rsid w:val="0093418B"/>
    <w:rsid w:val="00935D9D"/>
    <w:rsid w:val="00936916"/>
    <w:rsid w:val="009377A8"/>
    <w:rsid w:val="009409C1"/>
    <w:rsid w:val="00940BF7"/>
    <w:rsid w:val="00947162"/>
    <w:rsid w:val="00947E96"/>
    <w:rsid w:val="00947F46"/>
    <w:rsid w:val="00950820"/>
    <w:rsid w:val="009522F4"/>
    <w:rsid w:val="009527A5"/>
    <w:rsid w:val="0095366B"/>
    <w:rsid w:val="00953731"/>
    <w:rsid w:val="00954335"/>
    <w:rsid w:val="009555D9"/>
    <w:rsid w:val="00955EE9"/>
    <w:rsid w:val="0095690A"/>
    <w:rsid w:val="00957E00"/>
    <w:rsid w:val="009610D0"/>
    <w:rsid w:val="00961F93"/>
    <w:rsid w:val="0096375C"/>
    <w:rsid w:val="00963E6E"/>
    <w:rsid w:val="009662E6"/>
    <w:rsid w:val="00966A06"/>
    <w:rsid w:val="0096725C"/>
    <w:rsid w:val="00970157"/>
    <w:rsid w:val="0097095E"/>
    <w:rsid w:val="0098021C"/>
    <w:rsid w:val="00981E37"/>
    <w:rsid w:val="00984643"/>
    <w:rsid w:val="00985042"/>
    <w:rsid w:val="00985272"/>
    <w:rsid w:val="0098592B"/>
    <w:rsid w:val="00985FC4"/>
    <w:rsid w:val="00990766"/>
    <w:rsid w:val="00991261"/>
    <w:rsid w:val="00993E9B"/>
    <w:rsid w:val="009956F9"/>
    <w:rsid w:val="009964C4"/>
    <w:rsid w:val="009A183B"/>
    <w:rsid w:val="009A303B"/>
    <w:rsid w:val="009A439B"/>
    <w:rsid w:val="009A5524"/>
    <w:rsid w:val="009A7B81"/>
    <w:rsid w:val="009B0487"/>
    <w:rsid w:val="009B0DA1"/>
    <w:rsid w:val="009B1032"/>
    <w:rsid w:val="009B1895"/>
    <w:rsid w:val="009B19E9"/>
    <w:rsid w:val="009B37FD"/>
    <w:rsid w:val="009B4D9A"/>
    <w:rsid w:val="009B5D53"/>
    <w:rsid w:val="009B625A"/>
    <w:rsid w:val="009B6F0F"/>
    <w:rsid w:val="009B7C46"/>
    <w:rsid w:val="009C0E50"/>
    <w:rsid w:val="009C6FBA"/>
    <w:rsid w:val="009D01C0"/>
    <w:rsid w:val="009D244B"/>
    <w:rsid w:val="009D3383"/>
    <w:rsid w:val="009D3CE0"/>
    <w:rsid w:val="009D64C9"/>
    <w:rsid w:val="009D6A08"/>
    <w:rsid w:val="009D6C03"/>
    <w:rsid w:val="009E0A16"/>
    <w:rsid w:val="009E1481"/>
    <w:rsid w:val="009E178D"/>
    <w:rsid w:val="009E1C9D"/>
    <w:rsid w:val="009E400B"/>
    <w:rsid w:val="009E4535"/>
    <w:rsid w:val="009E4CB4"/>
    <w:rsid w:val="009E552B"/>
    <w:rsid w:val="009E6550"/>
    <w:rsid w:val="009E6CB7"/>
    <w:rsid w:val="009E7970"/>
    <w:rsid w:val="009F0862"/>
    <w:rsid w:val="009F11DC"/>
    <w:rsid w:val="009F2A69"/>
    <w:rsid w:val="009F2EAC"/>
    <w:rsid w:val="009F310B"/>
    <w:rsid w:val="009F4D9A"/>
    <w:rsid w:val="009F57E3"/>
    <w:rsid w:val="009F58CC"/>
    <w:rsid w:val="009F6D34"/>
    <w:rsid w:val="009F6D3B"/>
    <w:rsid w:val="009F6DF9"/>
    <w:rsid w:val="00A011D2"/>
    <w:rsid w:val="00A020AD"/>
    <w:rsid w:val="00A02A1A"/>
    <w:rsid w:val="00A030A8"/>
    <w:rsid w:val="00A04808"/>
    <w:rsid w:val="00A04CD1"/>
    <w:rsid w:val="00A04EA5"/>
    <w:rsid w:val="00A061F5"/>
    <w:rsid w:val="00A0708E"/>
    <w:rsid w:val="00A102D1"/>
    <w:rsid w:val="00A10F4F"/>
    <w:rsid w:val="00A11067"/>
    <w:rsid w:val="00A12F81"/>
    <w:rsid w:val="00A14393"/>
    <w:rsid w:val="00A15623"/>
    <w:rsid w:val="00A1704A"/>
    <w:rsid w:val="00A204E4"/>
    <w:rsid w:val="00A20FD7"/>
    <w:rsid w:val="00A2273C"/>
    <w:rsid w:val="00A2297F"/>
    <w:rsid w:val="00A22C54"/>
    <w:rsid w:val="00A24311"/>
    <w:rsid w:val="00A258C7"/>
    <w:rsid w:val="00A265B8"/>
    <w:rsid w:val="00A267D8"/>
    <w:rsid w:val="00A30774"/>
    <w:rsid w:val="00A3201D"/>
    <w:rsid w:val="00A3203E"/>
    <w:rsid w:val="00A32160"/>
    <w:rsid w:val="00A33471"/>
    <w:rsid w:val="00A37A16"/>
    <w:rsid w:val="00A401D6"/>
    <w:rsid w:val="00A40ADF"/>
    <w:rsid w:val="00A41EF7"/>
    <w:rsid w:val="00A4258F"/>
    <w:rsid w:val="00A425EB"/>
    <w:rsid w:val="00A43AD6"/>
    <w:rsid w:val="00A44011"/>
    <w:rsid w:val="00A44580"/>
    <w:rsid w:val="00A446B4"/>
    <w:rsid w:val="00A4546C"/>
    <w:rsid w:val="00A500D4"/>
    <w:rsid w:val="00A50403"/>
    <w:rsid w:val="00A50C9D"/>
    <w:rsid w:val="00A5177E"/>
    <w:rsid w:val="00A51F83"/>
    <w:rsid w:val="00A521A9"/>
    <w:rsid w:val="00A52990"/>
    <w:rsid w:val="00A53171"/>
    <w:rsid w:val="00A5381E"/>
    <w:rsid w:val="00A54F1D"/>
    <w:rsid w:val="00A5513A"/>
    <w:rsid w:val="00A56322"/>
    <w:rsid w:val="00A57B85"/>
    <w:rsid w:val="00A62FA0"/>
    <w:rsid w:val="00A62FCF"/>
    <w:rsid w:val="00A6324C"/>
    <w:rsid w:val="00A64558"/>
    <w:rsid w:val="00A64D76"/>
    <w:rsid w:val="00A71DC0"/>
    <w:rsid w:val="00A72F22"/>
    <w:rsid w:val="00A733BC"/>
    <w:rsid w:val="00A737BE"/>
    <w:rsid w:val="00A748A6"/>
    <w:rsid w:val="00A76A69"/>
    <w:rsid w:val="00A80A3A"/>
    <w:rsid w:val="00A85000"/>
    <w:rsid w:val="00A855C0"/>
    <w:rsid w:val="00A8577E"/>
    <w:rsid w:val="00A879A4"/>
    <w:rsid w:val="00A9189A"/>
    <w:rsid w:val="00A91CDE"/>
    <w:rsid w:val="00A91E00"/>
    <w:rsid w:val="00A9558F"/>
    <w:rsid w:val="00A96656"/>
    <w:rsid w:val="00AA0BD7"/>
    <w:rsid w:val="00AA0FF8"/>
    <w:rsid w:val="00AA1A82"/>
    <w:rsid w:val="00AA39D4"/>
    <w:rsid w:val="00AA6252"/>
    <w:rsid w:val="00AB02B3"/>
    <w:rsid w:val="00AB138C"/>
    <w:rsid w:val="00AB460D"/>
    <w:rsid w:val="00AC06DC"/>
    <w:rsid w:val="00AC0885"/>
    <w:rsid w:val="00AC0F2C"/>
    <w:rsid w:val="00AC1364"/>
    <w:rsid w:val="00AC502A"/>
    <w:rsid w:val="00AC6D22"/>
    <w:rsid w:val="00AC7D2D"/>
    <w:rsid w:val="00AD0D32"/>
    <w:rsid w:val="00AD2220"/>
    <w:rsid w:val="00AD395A"/>
    <w:rsid w:val="00AD5B99"/>
    <w:rsid w:val="00AD6315"/>
    <w:rsid w:val="00AD7098"/>
    <w:rsid w:val="00AD7309"/>
    <w:rsid w:val="00AE1710"/>
    <w:rsid w:val="00AE17AD"/>
    <w:rsid w:val="00AE1C33"/>
    <w:rsid w:val="00AE2AAA"/>
    <w:rsid w:val="00AE2DFA"/>
    <w:rsid w:val="00AF07E9"/>
    <w:rsid w:val="00AF1CD7"/>
    <w:rsid w:val="00AF2A55"/>
    <w:rsid w:val="00AF58C1"/>
    <w:rsid w:val="00AF5FAC"/>
    <w:rsid w:val="00AF6FCF"/>
    <w:rsid w:val="00B01F90"/>
    <w:rsid w:val="00B039D9"/>
    <w:rsid w:val="00B04316"/>
    <w:rsid w:val="00B04A3F"/>
    <w:rsid w:val="00B0518D"/>
    <w:rsid w:val="00B06643"/>
    <w:rsid w:val="00B10769"/>
    <w:rsid w:val="00B114B4"/>
    <w:rsid w:val="00B14C73"/>
    <w:rsid w:val="00B14FF3"/>
    <w:rsid w:val="00B15055"/>
    <w:rsid w:val="00B15771"/>
    <w:rsid w:val="00B168E9"/>
    <w:rsid w:val="00B17066"/>
    <w:rsid w:val="00B17AA3"/>
    <w:rsid w:val="00B20551"/>
    <w:rsid w:val="00B2060F"/>
    <w:rsid w:val="00B21F6F"/>
    <w:rsid w:val="00B22F52"/>
    <w:rsid w:val="00B230D4"/>
    <w:rsid w:val="00B26985"/>
    <w:rsid w:val="00B30179"/>
    <w:rsid w:val="00B33FC7"/>
    <w:rsid w:val="00B371AB"/>
    <w:rsid w:val="00B37B15"/>
    <w:rsid w:val="00B4169A"/>
    <w:rsid w:val="00B44801"/>
    <w:rsid w:val="00B44844"/>
    <w:rsid w:val="00B453BA"/>
    <w:rsid w:val="00B45C02"/>
    <w:rsid w:val="00B5119E"/>
    <w:rsid w:val="00B52636"/>
    <w:rsid w:val="00B53DA2"/>
    <w:rsid w:val="00B5423A"/>
    <w:rsid w:val="00B55E36"/>
    <w:rsid w:val="00B61022"/>
    <w:rsid w:val="00B632C1"/>
    <w:rsid w:val="00B65610"/>
    <w:rsid w:val="00B66CEE"/>
    <w:rsid w:val="00B70B63"/>
    <w:rsid w:val="00B72A1E"/>
    <w:rsid w:val="00B7518A"/>
    <w:rsid w:val="00B76896"/>
    <w:rsid w:val="00B7782A"/>
    <w:rsid w:val="00B77AE6"/>
    <w:rsid w:val="00B8090D"/>
    <w:rsid w:val="00B811A7"/>
    <w:rsid w:val="00B815C9"/>
    <w:rsid w:val="00B81E12"/>
    <w:rsid w:val="00B83982"/>
    <w:rsid w:val="00B83D25"/>
    <w:rsid w:val="00B85FDB"/>
    <w:rsid w:val="00B862DB"/>
    <w:rsid w:val="00B87C37"/>
    <w:rsid w:val="00B90096"/>
    <w:rsid w:val="00B907E6"/>
    <w:rsid w:val="00B9356E"/>
    <w:rsid w:val="00B93A70"/>
    <w:rsid w:val="00B95F27"/>
    <w:rsid w:val="00BA1DAB"/>
    <w:rsid w:val="00BA32B6"/>
    <w:rsid w:val="00BA339B"/>
    <w:rsid w:val="00BA35BE"/>
    <w:rsid w:val="00BA5D94"/>
    <w:rsid w:val="00BA5DBC"/>
    <w:rsid w:val="00BA6D2C"/>
    <w:rsid w:val="00BB0E0E"/>
    <w:rsid w:val="00BB0EA9"/>
    <w:rsid w:val="00BB3AA0"/>
    <w:rsid w:val="00BB4CC0"/>
    <w:rsid w:val="00BB4FFF"/>
    <w:rsid w:val="00BB7310"/>
    <w:rsid w:val="00BC17A7"/>
    <w:rsid w:val="00BC1E7E"/>
    <w:rsid w:val="00BC285E"/>
    <w:rsid w:val="00BC2C08"/>
    <w:rsid w:val="00BC32A2"/>
    <w:rsid w:val="00BC539B"/>
    <w:rsid w:val="00BC5C6A"/>
    <w:rsid w:val="00BC74E9"/>
    <w:rsid w:val="00BC79DA"/>
    <w:rsid w:val="00BD2D07"/>
    <w:rsid w:val="00BD2D67"/>
    <w:rsid w:val="00BD5827"/>
    <w:rsid w:val="00BE0556"/>
    <w:rsid w:val="00BE0C2B"/>
    <w:rsid w:val="00BE2D8C"/>
    <w:rsid w:val="00BE36A9"/>
    <w:rsid w:val="00BE3C07"/>
    <w:rsid w:val="00BE4563"/>
    <w:rsid w:val="00BE47A2"/>
    <w:rsid w:val="00BE556B"/>
    <w:rsid w:val="00BE618E"/>
    <w:rsid w:val="00BE6B5A"/>
    <w:rsid w:val="00BE6C57"/>
    <w:rsid w:val="00BE6D16"/>
    <w:rsid w:val="00BE7BEC"/>
    <w:rsid w:val="00BF0869"/>
    <w:rsid w:val="00BF0A5A"/>
    <w:rsid w:val="00BF0E63"/>
    <w:rsid w:val="00BF1150"/>
    <w:rsid w:val="00BF1277"/>
    <w:rsid w:val="00BF12A3"/>
    <w:rsid w:val="00BF16D7"/>
    <w:rsid w:val="00BF2373"/>
    <w:rsid w:val="00BF29AB"/>
    <w:rsid w:val="00BF325B"/>
    <w:rsid w:val="00BF4543"/>
    <w:rsid w:val="00BF4769"/>
    <w:rsid w:val="00BF75A4"/>
    <w:rsid w:val="00C01313"/>
    <w:rsid w:val="00C01AED"/>
    <w:rsid w:val="00C03435"/>
    <w:rsid w:val="00C044E2"/>
    <w:rsid w:val="00C048CB"/>
    <w:rsid w:val="00C04A77"/>
    <w:rsid w:val="00C05F6B"/>
    <w:rsid w:val="00C06179"/>
    <w:rsid w:val="00C066F3"/>
    <w:rsid w:val="00C100E3"/>
    <w:rsid w:val="00C10221"/>
    <w:rsid w:val="00C10A14"/>
    <w:rsid w:val="00C111D1"/>
    <w:rsid w:val="00C13BBF"/>
    <w:rsid w:val="00C14F2A"/>
    <w:rsid w:val="00C159D9"/>
    <w:rsid w:val="00C1637B"/>
    <w:rsid w:val="00C20C4B"/>
    <w:rsid w:val="00C23761"/>
    <w:rsid w:val="00C30571"/>
    <w:rsid w:val="00C30773"/>
    <w:rsid w:val="00C3157A"/>
    <w:rsid w:val="00C327A5"/>
    <w:rsid w:val="00C444C1"/>
    <w:rsid w:val="00C44609"/>
    <w:rsid w:val="00C463DD"/>
    <w:rsid w:val="00C50219"/>
    <w:rsid w:val="00C50365"/>
    <w:rsid w:val="00C5314A"/>
    <w:rsid w:val="00C53DCB"/>
    <w:rsid w:val="00C55C68"/>
    <w:rsid w:val="00C56724"/>
    <w:rsid w:val="00C57731"/>
    <w:rsid w:val="00C61665"/>
    <w:rsid w:val="00C63553"/>
    <w:rsid w:val="00C63F3A"/>
    <w:rsid w:val="00C65A10"/>
    <w:rsid w:val="00C70517"/>
    <w:rsid w:val="00C71C1F"/>
    <w:rsid w:val="00C737E7"/>
    <w:rsid w:val="00C745C3"/>
    <w:rsid w:val="00C802CA"/>
    <w:rsid w:val="00C803E3"/>
    <w:rsid w:val="00C80851"/>
    <w:rsid w:val="00C80935"/>
    <w:rsid w:val="00C92F4C"/>
    <w:rsid w:val="00C94C65"/>
    <w:rsid w:val="00C951E3"/>
    <w:rsid w:val="00C9560B"/>
    <w:rsid w:val="00C9605B"/>
    <w:rsid w:val="00C978F5"/>
    <w:rsid w:val="00CA0E14"/>
    <w:rsid w:val="00CA24A4"/>
    <w:rsid w:val="00CA3468"/>
    <w:rsid w:val="00CA38FF"/>
    <w:rsid w:val="00CA5182"/>
    <w:rsid w:val="00CA6229"/>
    <w:rsid w:val="00CA640A"/>
    <w:rsid w:val="00CA6FE7"/>
    <w:rsid w:val="00CA70FC"/>
    <w:rsid w:val="00CB0FA0"/>
    <w:rsid w:val="00CB2D88"/>
    <w:rsid w:val="00CB348D"/>
    <w:rsid w:val="00CB369B"/>
    <w:rsid w:val="00CB380D"/>
    <w:rsid w:val="00CB4F4C"/>
    <w:rsid w:val="00CB60AB"/>
    <w:rsid w:val="00CB7444"/>
    <w:rsid w:val="00CC0A3E"/>
    <w:rsid w:val="00CC0AED"/>
    <w:rsid w:val="00CC0F64"/>
    <w:rsid w:val="00CC1815"/>
    <w:rsid w:val="00CC3D65"/>
    <w:rsid w:val="00CC475B"/>
    <w:rsid w:val="00CC5A3C"/>
    <w:rsid w:val="00CC72D6"/>
    <w:rsid w:val="00CD0E14"/>
    <w:rsid w:val="00CD46F5"/>
    <w:rsid w:val="00CD54E5"/>
    <w:rsid w:val="00CD608A"/>
    <w:rsid w:val="00CD6973"/>
    <w:rsid w:val="00CE0093"/>
    <w:rsid w:val="00CE0FC1"/>
    <w:rsid w:val="00CE299F"/>
    <w:rsid w:val="00CE484F"/>
    <w:rsid w:val="00CE4A8F"/>
    <w:rsid w:val="00CE6DDC"/>
    <w:rsid w:val="00CE75AF"/>
    <w:rsid w:val="00CF071D"/>
    <w:rsid w:val="00CF0B05"/>
    <w:rsid w:val="00CF27D8"/>
    <w:rsid w:val="00CF34BE"/>
    <w:rsid w:val="00CF516A"/>
    <w:rsid w:val="00CF5DBB"/>
    <w:rsid w:val="00CF6410"/>
    <w:rsid w:val="00CF71DF"/>
    <w:rsid w:val="00CF7B31"/>
    <w:rsid w:val="00D00C3F"/>
    <w:rsid w:val="00D011B5"/>
    <w:rsid w:val="00D0123D"/>
    <w:rsid w:val="00D02177"/>
    <w:rsid w:val="00D03F73"/>
    <w:rsid w:val="00D05781"/>
    <w:rsid w:val="00D06658"/>
    <w:rsid w:val="00D106D1"/>
    <w:rsid w:val="00D11D18"/>
    <w:rsid w:val="00D129A8"/>
    <w:rsid w:val="00D15B04"/>
    <w:rsid w:val="00D2031B"/>
    <w:rsid w:val="00D20919"/>
    <w:rsid w:val="00D21F26"/>
    <w:rsid w:val="00D220F9"/>
    <w:rsid w:val="00D23683"/>
    <w:rsid w:val="00D23BCC"/>
    <w:rsid w:val="00D25FE2"/>
    <w:rsid w:val="00D316F3"/>
    <w:rsid w:val="00D317BE"/>
    <w:rsid w:val="00D317D8"/>
    <w:rsid w:val="00D3374B"/>
    <w:rsid w:val="00D35F27"/>
    <w:rsid w:val="00D37DA9"/>
    <w:rsid w:val="00D4062E"/>
    <w:rsid w:val="00D406A7"/>
    <w:rsid w:val="00D4101C"/>
    <w:rsid w:val="00D414F2"/>
    <w:rsid w:val="00D41A8F"/>
    <w:rsid w:val="00D41E25"/>
    <w:rsid w:val="00D420C3"/>
    <w:rsid w:val="00D422AA"/>
    <w:rsid w:val="00D43252"/>
    <w:rsid w:val="00D44632"/>
    <w:rsid w:val="00D44D86"/>
    <w:rsid w:val="00D44DC9"/>
    <w:rsid w:val="00D458DF"/>
    <w:rsid w:val="00D46207"/>
    <w:rsid w:val="00D47C4A"/>
    <w:rsid w:val="00D5005A"/>
    <w:rsid w:val="00D50B7D"/>
    <w:rsid w:val="00D516C6"/>
    <w:rsid w:val="00D52012"/>
    <w:rsid w:val="00D53470"/>
    <w:rsid w:val="00D54C6A"/>
    <w:rsid w:val="00D55E9F"/>
    <w:rsid w:val="00D570A3"/>
    <w:rsid w:val="00D6006C"/>
    <w:rsid w:val="00D61502"/>
    <w:rsid w:val="00D6211A"/>
    <w:rsid w:val="00D627F3"/>
    <w:rsid w:val="00D64A8F"/>
    <w:rsid w:val="00D6577D"/>
    <w:rsid w:val="00D6607E"/>
    <w:rsid w:val="00D66EDB"/>
    <w:rsid w:val="00D677E3"/>
    <w:rsid w:val="00D67C2A"/>
    <w:rsid w:val="00D704E5"/>
    <w:rsid w:val="00D70AB4"/>
    <w:rsid w:val="00D72727"/>
    <w:rsid w:val="00D72CA4"/>
    <w:rsid w:val="00D74790"/>
    <w:rsid w:val="00D75129"/>
    <w:rsid w:val="00D75E56"/>
    <w:rsid w:val="00D80CDB"/>
    <w:rsid w:val="00D84877"/>
    <w:rsid w:val="00D854AF"/>
    <w:rsid w:val="00D87DAA"/>
    <w:rsid w:val="00D90CF7"/>
    <w:rsid w:val="00D91C0A"/>
    <w:rsid w:val="00D92358"/>
    <w:rsid w:val="00D93D3F"/>
    <w:rsid w:val="00D94441"/>
    <w:rsid w:val="00D947A1"/>
    <w:rsid w:val="00D954ED"/>
    <w:rsid w:val="00D960E8"/>
    <w:rsid w:val="00D96A69"/>
    <w:rsid w:val="00D973B9"/>
    <w:rsid w:val="00D978C6"/>
    <w:rsid w:val="00DA06B3"/>
    <w:rsid w:val="00DA0956"/>
    <w:rsid w:val="00DA0C82"/>
    <w:rsid w:val="00DA1675"/>
    <w:rsid w:val="00DA2BC6"/>
    <w:rsid w:val="00DA357F"/>
    <w:rsid w:val="00DA3E12"/>
    <w:rsid w:val="00DA45BF"/>
    <w:rsid w:val="00DA48AD"/>
    <w:rsid w:val="00DA74DC"/>
    <w:rsid w:val="00DA7521"/>
    <w:rsid w:val="00DB3D45"/>
    <w:rsid w:val="00DB68FF"/>
    <w:rsid w:val="00DB734D"/>
    <w:rsid w:val="00DC12CE"/>
    <w:rsid w:val="00DC18AD"/>
    <w:rsid w:val="00DC4406"/>
    <w:rsid w:val="00DC46E0"/>
    <w:rsid w:val="00DC48BA"/>
    <w:rsid w:val="00DC6ADE"/>
    <w:rsid w:val="00DD6678"/>
    <w:rsid w:val="00DE1DA8"/>
    <w:rsid w:val="00DE2C59"/>
    <w:rsid w:val="00DE3ED1"/>
    <w:rsid w:val="00DF01D5"/>
    <w:rsid w:val="00DF0911"/>
    <w:rsid w:val="00DF09A4"/>
    <w:rsid w:val="00DF101F"/>
    <w:rsid w:val="00DF11C5"/>
    <w:rsid w:val="00DF16E9"/>
    <w:rsid w:val="00DF33EB"/>
    <w:rsid w:val="00DF50F3"/>
    <w:rsid w:val="00DF5765"/>
    <w:rsid w:val="00DF6B4E"/>
    <w:rsid w:val="00DF7C46"/>
    <w:rsid w:val="00DF7CAE"/>
    <w:rsid w:val="00E065BC"/>
    <w:rsid w:val="00E1043A"/>
    <w:rsid w:val="00E11FA6"/>
    <w:rsid w:val="00E12047"/>
    <w:rsid w:val="00E12626"/>
    <w:rsid w:val="00E144EE"/>
    <w:rsid w:val="00E2189E"/>
    <w:rsid w:val="00E21B15"/>
    <w:rsid w:val="00E23D7B"/>
    <w:rsid w:val="00E23F8F"/>
    <w:rsid w:val="00E2612A"/>
    <w:rsid w:val="00E26BA3"/>
    <w:rsid w:val="00E3137C"/>
    <w:rsid w:val="00E32AB1"/>
    <w:rsid w:val="00E33C81"/>
    <w:rsid w:val="00E33FB7"/>
    <w:rsid w:val="00E37832"/>
    <w:rsid w:val="00E37917"/>
    <w:rsid w:val="00E40E76"/>
    <w:rsid w:val="00E423C0"/>
    <w:rsid w:val="00E43728"/>
    <w:rsid w:val="00E44529"/>
    <w:rsid w:val="00E4483B"/>
    <w:rsid w:val="00E46052"/>
    <w:rsid w:val="00E462AE"/>
    <w:rsid w:val="00E5361E"/>
    <w:rsid w:val="00E54B19"/>
    <w:rsid w:val="00E56F42"/>
    <w:rsid w:val="00E571A1"/>
    <w:rsid w:val="00E60F4E"/>
    <w:rsid w:val="00E6414C"/>
    <w:rsid w:val="00E66E29"/>
    <w:rsid w:val="00E67281"/>
    <w:rsid w:val="00E70251"/>
    <w:rsid w:val="00E70255"/>
    <w:rsid w:val="00E7260F"/>
    <w:rsid w:val="00E72D3D"/>
    <w:rsid w:val="00E73C23"/>
    <w:rsid w:val="00E767C2"/>
    <w:rsid w:val="00E77A1E"/>
    <w:rsid w:val="00E832EB"/>
    <w:rsid w:val="00E83E5B"/>
    <w:rsid w:val="00E862AF"/>
    <w:rsid w:val="00E8702D"/>
    <w:rsid w:val="00E900E0"/>
    <w:rsid w:val="00E905F4"/>
    <w:rsid w:val="00E9087C"/>
    <w:rsid w:val="00E90A5E"/>
    <w:rsid w:val="00E91031"/>
    <w:rsid w:val="00E912B9"/>
    <w:rsid w:val="00E916A9"/>
    <w:rsid w:val="00E916DE"/>
    <w:rsid w:val="00E91AB9"/>
    <w:rsid w:val="00E925AD"/>
    <w:rsid w:val="00E94672"/>
    <w:rsid w:val="00E94D69"/>
    <w:rsid w:val="00E96630"/>
    <w:rsid w:val="00EA0C3D"/>
    <w:rsid w:val="00EA375F"/>
    <w:rsid w:val="00EA3EAD"/>
    <w:rsid w:val="00EA4640"/>
    <w:rsid w:val="00EA4BFB"/>
    <w:rsid w:val="00EA5866"/>
    <w:rsid w:val="00EA66B8"/>
    <w:rsid w:val="00EA6B6E"/>
    <w:rsid w:val="00EB0468"/>
    <w:rsid w:val="00EB1435"/>
    <w:rsid w:val="00EB3E0C"/>
    <w:rsid w:val="00EB3FE2"/>
    <w:rsid w:val="00EC3EC8"/>
    <w:rsid w:val="00EC6C64"/>
    <w:rsid w:val="00ED0EAD"/>
    <w:rsid w:val="00ED0F98"/>
    <w:rsid w:val="00ED18DC"/>
    <w:rsid w:val="00ED1929"/>
    <w:rsid w:val="00ED28FB"/>
    <w:rsid w:val="00ED343F"/>
    <w:rsid w:val="00ED4D76"/>
    <w:rsid w:val="00ED4E31"/>
    <w:rsid w:val="00ED6201"/>
    <w:rsid w:val="00ED7A2A"/>
    <w:rsid w:val="00EE2B1F"/>
    <w:rsid w:val="00EE3B6F"/>
    <w:rsid w:val="00EE447C"/>
    <w:rsid w:val="00EE6ECE"/>
    <w:rsid w:val="00EF1247"/>
    <w:rsid w:val="00EF1D7F"/>
    <w:rsid w:val="00EF242F"/>
    <w:rsid w:val="00EF45C3"/>
    <w:rsid w:val="00F012E4"/>
    <w:rsid w:val="00F0137E"/>
    <w:rsid w:val="00F01762"/>
    <w:rsid w:val="00F030DB"/>
    <w:rsid w:val="00F042B4"/>
    <w:rsid w:val="00F13127"/>
    <w:rsid w:val="00F13860"/>
    <w:rsid w:val="00F1393C"/>
    <w:rsid w:val="00F140CB"/>
    <w:rsid w:val="00F14296"/>
    <w:rsid w:val="00F20896"/>
    <w:rsid w:val="00F21786"/>
    <w:rsid w:val="00F21A9E"/>
    <w:rsid w:val="00F2449B"/>
    <w:rsid w:val="00F274C5"/>
    <w:rsid w:val="00F27DFF"/>
    <w:rsid w:val="00F36943"/>
    <w:rsid w:val="00F3742B"/>
    <w:rsid w:val="00F37D27"/>
    <w:rsid w:val="00F417C2"/>
    <w:rsid w:val="00F41FDB"/>
    <w:rsid w:val="00F54E32"/>
    <w:rsid w:val="00F56D63"/>
    <w:rsid w:val="00F609A9"/>
    <w:rsid w:val="00F60B8B"/>
    <w:rsid w:val="00F7066C"/>
    <w:rsid w:val="00F731F6"/>
    <w:rsid w:val="00F769AD"/>
    <w:rsid w:val="00F77768"/>
    <w:rsid w:val="00F803A0"/>
    <w:rsid w:val="00F80B19"/>
    <w:rsid w:val="00F80C99"/>
    <w:rsid w:val="00F82A90"/>
    <w:rsid w:val="00F8435E"/>
    <w:rsid w:val="00F8476E"/>
    <w:rsid w:val="00F85843"/>
    <w:rsid w:val="00F85F8E"/>
    <w:rsid w:val="00F86671"/>
    <w:rsid w:val="00F867EC"/>
    <w:rsid w:val="00F871D1"/>
    <w:rsid w:val="00F90F19"/>
    <w:rsid w:val="00F9136B"/>
    <w:rsid w:val="00F91B2B"/>
    <w:rsid w:val="00F931E5"/>
    <w:rsid w:val="00F94A73"/>
    <w:rsid w:val="00F95457"/>
    <w:rsid w:val="00F95A32"/>
    <w:rsid w:val="00F9713A"/>
    <w:rsid w:val="00FA0207"/>
    <w:rsid w:val="00FA38EB"/>
    <w:rsid w:val="00FA3CA8"/>
    <w:rsid w:val="00FA621D"/>
    <w:rsid w:val="00FA7284"/>
    <w:rsid w:val="00FB03E5"/>
    <w:rsid w:val="00FB1BC9"/>
    <w:rsid w:val="00FB3EB1"/>
    <w:rsid w:val="00FB3FC8"/>
    <w:rsid w:val="00FB47FF"/>
    <w:rsid w:val="00FB6766"/>
    <w:rsid w:val="00FB6C8B"/>
    <w:rsid w:val="00FB76C2"/>
    <w:rsid w:val="00FC03CD"/>
    <w:rsid w:val="00FC0646"/>
    <w:rsid w:val="00FC68B7"/>
    <w:rsid w:val="00FC7EEF"/>
    <w:rsid w:val="00FD1193"/>
    <w:rsid w:val="00FD294D"/>
    <w:rsid w:val="00FD2C04"/>
    <w:rsid w:val="00FD2F36"/>
    <w:rsid w:val="00FD343D"/>
    <w:rsid w:val="00FD4697"/>
    <w:rsid w:val="00FD7006"/>
    <w:rsid w:val="00FD7CFA"/>
    <w:rsid w:val="00FE0399"/>
    <w:rsid w:val="00FE0687"/>
    <w:rsid w:val="00FE1182"/>
    <w:rsid w:val="00FE5616"/>
    <w:rsid w:val="00FE6985"/>
    <w:rsid w:val="00FE6B5F"/>
    <w:rsid w:val="00FF100D"/>
    <w:rsid w:val="00FF118F"/>
    <w:rsid w:val="00FF1E22"/>
    <w:rsid w:val="00FF3285"/>
    <w:rsid w:val="00FF343C"/>
    <w:rsid w:val="00FF3F77"/>
    <w:rsid w:val="15C1AA0C"/>
    <w:rsid w:val="272AC352"/>
    <w:rsid w:val="2F3D38BF"/>
    <w:rsid w:val="363ACE5C"/>
    <w:rsid w:val="51443214"/>
    <w:rsid w:val="5E2F178A"/>
    <w:rsid w:val="5E694CAB"/>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A727553"/>
  <w15:docId w15:val="{73A1C65A-6F66-4547-A601-E3095625A2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ＭＳ 明朝"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qFormat="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qFormat="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lsdException w:name="List 4" w:semiHidden="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qFormat="1"/>
    <w:lsdException w:name="Closing" w:semiHidden="1" w:unhideWhenUsed="1"/>
    <w:lsdException w:name="Signature" w:semiHidden="1" w:uiPriority="7" w:unhideWhenUsed="1" w:qFormat="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lsdException w:name="Subtitle" w:semiHidden="1" w:qFormat="1"/>
    <w:lsdException w:name="Salutation" w:semiHidden="1"/>
    <w:lsdException w:name="Date" w:semiHidden="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780C68"/>
    <w:pPr>
      <w:suppressAutoHyphens/>
      <w:spacing w:line="240" w:lineRule="atLeast"/>
    </w:pPr>
    <w:rPr>
      <w:lang w:val="en-GB"/>
    </w:rPr>
  </w:style>
  <w:style w:type="paragraph" w:styleId="1">
    <w:name w:val="heading 1"/>
    <w:aliases w:val="Table_G"/>
    <w:basedOn w:val="SingleTxtG"/>
    <w:next w:val="SingleTxtG"/>
    <w:qFormat/>
    <w:rsid w:val="00E925AD"/>
    <w:pPr>
      <w:spacing w:after="0" w:line="240" w:lineRule="auto"/>
      <w:ind w:right="0"/>
      <w:jc w:val="left"/>
      <w:outlineLvl w:val="0"/>
    </w:pPr>
  </w:style>
  <w:style w:type="paragraph" w:styleId="2">
    <w:name w:val="heading 2"/>
    <w:basedOn w:val="a"/>
    <w:next w:val="a"/>
    <w:semiHidden/>
    <w:qFormat/>
    <w:rsid w:val="00E925AD"/>
    <w:pPr>
      <w:spacing w:line="240" w:lineRule="auto"/>
      <w:outlineLvl w:val="1"/>
    </w:pPr>
  </w:style>
  <w:style w:type="paragraph" w:styleId="3">
    <w:name w:val="heading 3"/>
    <w:basedOn w:val="a"/>
    <w:next w:val="a"/>
    <w:semiHidden/>
    <w:qFormat/>
    <w:rsid w:val="00E925AD"/>
    <w:pPr>
      <w:spacing w:line="240" w:lineRule="auto"/>
      <w:outlineLvl w:val="2"/>
    </w:pPr>
  </w:style>
  <w:style w:type="paragraph" w:styleId="4">
    <w:name w:val="heading 4"/>
    <w:basedOn w:val="a"/>
    <w:next w:val="a"/>
    <w:semiHidden/>
    <w:qFormat/>
    <w:rsid w:val="00E925AD"/>
    <w:pPr>
      <w:spacing w:line="240" w:lineRule="auto"/>
      <w:outlineLvl w:val="3"/>
    </w:pPr>
  </w:style>
  <w:style w:type="paragraph" w:styleId="5">
    <w:name w:val="heading 5"/>
    <w:basedOn w:val="a"/>
    <w:next w:val="a"/>
    <w:semiHidden/>
    <w:qFormat/>
    <w:rsid w:val="00E925AD"/>
    <w:pPr>
      <w:spacing w:line="240" w:lineRule="auto"/>
      <w:outlineLvl w:val="4"/>
    </w:pPr>
  </w:style>
  <w:style w:type="paragraph" w:styleId="6">
    <w:name w:val="heading 6"/>
    <w:basedOn w:val="a"/>
    <w:next w:val="a"/>
    <w:semiHidden/>
    <w:qFormat/>
    <w:rsid w:val="00E925AD"/>
    <w:pPr>
      <w:spacing w:line="240" w:lineRule="auto"/>
      <w:outlineLvl w:val="5"/>
    </w:pPr>
  </w:style>
  <w:style w:type="paragraph" w:styleId="7">
    <w:name w:val="heading 7"/>
    <w:basedOn w:val="a"/>
    <w:next w:val="a"/>
    <w:semiHidden/>
    <w:qFormat/>
    <w:rsid w:val="00E925AD"/>
    <w:pPr>
      <w:spacing w:line="240" w:lineRule="auto"/>
      <w:outlineLvl w:val="6"/>
    </w:pPr>
  </w:style>
  <w:style w:type="paragraph" w:styleId="8">
    <w:name w:val="heading 8"/>
    <w:basedOn w:val="a"/>
    <w:next w:val="a"/>
    <w:semiHidden/>
    <w:qFormat/>
    <w:rsid w:val="00E925AD"/>
    <w:pPr>
      <w:spacing w:line="240" w:lineRule="auto"/>
      <w:outlineLvl w:val="7"/>
    </w:pPr>
  </w:style>
  <w:style w:type="paragraph" w:styleId="9">
    <w:name w:val="heading 9"/>
    <w:basedOn w:val="a"/>
    <w:next w:val="a"/>
    <w:semiHidden/>
    <w:qFormat/>
    <w:rsid w:val="00E925AD"/>
    <w:pPr>
      <w:spacing w:line="240" w:lineRule="auto"/>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ingleTxtG">
    <w:name w:val="_ Single Txt_G"/>
    <w:basedOn w:val="a"/>
    <w:link w:val="SingleTxtGChar"/>
    <w:qFormat/>
    <w:rsid w:val="00E925AD"/>
    <w:pPr>
      <w:spacing w:after="120"/>
      <w:ind w:left="1134" w:right="1134"/>
      <w:jc w:val="both"/>
    </w:pPr>
  </w:style>
  <w:style w:type="paragraph" w:customStyle="1" w:styleId="HMG">
    <w:name w:val="_ H __M_G"/>
    <w:basedOn w:val="a"/>
    <w:next w:val="a"/>
    <w:qFormat/>
    <w:rsid w:val="00E925AD"/>
    <w:pPr>
      <w:keepNext/>
      <w:keepLines/>
      <w:tabs>
        <w:tab w:val="right" w:pos="851"/>
      </w:tabs>
      <w:spacing w:before="240" w:after="240" w:line="360" w:lineRule="exact"/>
      <w:ind w:left="1134" w:right="1134" w:hanging="1134"/>
    </w:pPr>
    <w:rPr>
      <w:b/>
      <w:sz w:val="34"/>
    </w:rPr>
  </w:style>
  <w:style w:type="paragraph" w:customStyle="1" w:styleId="HChG">
    <w:name w:val="_ H _Ch_G"/>
    <w:basedOn w:val="a"/>
    <w:next w:val="a"/>
    <w:qFormat/>
    <w:rsid w:val="00E925AD"/>
    <w:pPr>
      <w:keepNext/>
      <w:keepLines/>
      <w:tabs>
        <w:tab w:val="right" w:pos="851"/>
      </w:tabs>
      <w:spacing w:before="360" w:after="240" w:line="300" w:lineRule="exact"/>
      <w:ind w:left="1134" w:right="1134" w:hanging="1134"/>
    </w:pPr>
    <w:rPr>
      <w:b/>
      <w:sz w:val="28"/>
    </w:rPr>
  </w:style>
  <w:style w:type="character" w:styleId="a3">
    <w:name w:val="page number"/>
    <w:aliases w:val="7_G"/>
    <w:basedOn w:val="a0"/>
    <w:qFormat/>
    <w:rsid w:val="00E925AD"/>
    <w:rPr>
      <w:rFonts w:ascii="Times New Roman" w:hAnsi="Times New Roman"/>
      <w:b/>
      <w:sz w:val="18"/>
    </w:rPr>
  </w:style>
  <w:style w:type="paragraph" w:customStyle="1" w:styleId="SMG">
    <w:name w:val="__S_M_G"/>
    <w:basedOn w:val="a"/>
    <w:next w:val="a"/>
    <w:rsid w:val="00E925AD"/>
    <w:pPr>
      <w:keepNext/>
      <w:keepLines/>
      <w:spacing w:before="240" w:after="240" w:line="420" w:lineRule="exact"/>
      <w:ind w:left="1134" w:right="1134"/>
    </w:pPr>
    <w:rPr>
      <w:b/>
      <w:sz w:val="40"/>
    </w:rPr>
  </w:style>
  <w:style w:type="paragraph" w:customStyle="1" w:styleId="SLG">
    <w:name w:val="__S_L_G"/>
    <w:basedOn w:val="a"/>
    <w:next w:val="a"/>
    <w:rsid w:val="00E925AD"/>
    <w:pPr>
      <w:keepNext/>
      <w:keepLines/>
      <w:spacing w:before="240" w:after="240" w:line="580" w:lineRule="exact"/>
      <w:ind w:left="1134" w:right="1134"/>
    </w:pPr>
    <w:rPr>
      <w:b/>
      <w:sz w:val="56"/>
    </w:rPr>
  </w:style>
  <w:style w:type="paragraph" w:customStyle="1" w:styleId="SSG">
    <w:name w:val="__S_S_G"/>
    <w:basedOn w:val="a"/>
    <w:next w:val="a"/>
    <w:rsid w:val="00E925AD"/>
    <w:pPr>
      <w:keepNext/>
      <w:keepLines/>
      <w:spacing w:before="240" w:after="240" w:line="300" w:lineRule="exact"/>
      <w:ind w:left="1134" w:right="1134"/>
    </w:pPr>
    <w:rPr>
      <w:b/>
      <w:sz w:val="28"/>
    </w:rPr>
  </w:style>
  <w:style w:type="character" w:styleId="a4">
    <w:name w:val="endnote reference"/>
    <w:aliases w:val="1_G"/>
    <w:basedOn w:val="a5"/>
    <w:qFormat/>
    <w:rsid w:val="00E925AD"/>
    <w:rPr>
      <w:rFonts w:ascii="Times New Roman" w:hAnsi="Times New Roman"/>
      <w:sz w:val="18"/>
      <w:vertAlign w:val="superscript"/>
    </w:rPr>
  </w:style>
  <w:style w:type="character" w:styleId="a5">
    <w:name w:val="footnote reference"/>
    <w:aliases w:val="4_G"/>
    <w:basedOn w:val="a0"/>
    <w:qFormat/>
    <w:rsid w:val="00E925AD"/>
    <w:rPr>
      <w:rFonts w:ascii="Times New Roman" w:hAnsi="Times New Roman"/>
      <w:sz w:val="18"/>
      <w:vertAlign w:val="superscript"/>
    </w:rPr>
  </w:style>
  <w:style w:type="paragraph" w:styleId="a6">
    <w:name w:val="footnote text"/>
    <w:aliases w:val="5_G"/>
    <w:basedOn w:val="a"/>
    <w:qFormat/>
    <w:rsid w:val="00E925AD"/>
    <w:pPr>
      <w:tabs>
        <w:tab w:val="right" w:pos="1021"/>
      </w:tabs>
      <w:spacing w:line="220" w:lineRule="exact"/>
      <w:ind w:left="1134" w:right="1134" w:hanging="1134"/>
    </w:pPr>
    <w:rPr>
      <w:sz w:val="18"/>
    </w:rPr>
  </w:style>
  <w:style w:type="paragraph" w:customStyle="1" w:styleId="XLargeG">
    <w:name w:val="__XLarge_G"/>
    <w:basedOn w:val="a"/>
    <w:next w:val="a"/>
    <w:rsid w:val="00E925AD"/>
    <w:pPr>
      <w:keepNext/>
      <w:keepLines/>
      <w:spacing w:before="240" w:after="240" w:line="420" w:lineRule="exact"/>
      <w:ind w:left="1134" w:right="1134"/>
    </w:pPr>
    <w:rPr>
      <w:b/>
      <w:sz w:val="40"/>
    </w:rPr>
  </w:style>
  <w:style w:type="paragraph" w:customStyle="1" w:styleId="Bullet1G">
    <w:name w:val="_Bullet 1_G"/>
    <w:basedOn w:val="a"/>
    <w:qFormat/>
    <w:rsid w:val="00E925AD"/>
    <w:pPr>
      <w:numPr>
        <w:numId w:val="17"/>
      </w:numPr>
      <w:spacing w:after="120"/>
      <w:ind w:right="1134"/>
      <w:jc w:val="both"/>
    </w:pPr>
  </w:style>
  <w:style w:type="paragraph" w:styleId="a7">
    <w:name w:val="endnote text"/>
    <w:aliases w:val="2_G"/>
    <w:basedOn w:val="a6"/>
    <w:qFormat/>
    <w:rsid w:val="00E925AD"/>
  </w:style>
  <w:style w:type="paragraph" w:customStyle="1" w:styleId="Bullet2G">
    <w:name w:val="_Bullet 2_G"/>
    <w:basedOn w:val="a"/>
    <w:qFormat/>
    <w:rsid w:val="00E925AD"/>
    <w:pPr>
      <w:numPr>
        <w:numId w:val="18"/>
      </w:numPr>
      <w:spacing w:after="120"/>
      <w:ind w:right="1134"/>
      <w:jc w:val="both"/>
    </w:pPr>
  </w:style>
  <w:style w:type="paragraph" w:customStyle="1" w:styleId="H1G">
    <w:name w:val="_ H_1_G"/>
    <w:basedOn w:val="a"/>
    <w:next w:val="a"/>
    <w:qFormat/>
    <w:rsid w:val="00E925AD"/>
    <w:pPr>
      <w:keepNext/>
      <w:keepLines/>
      <w:tabs>
        <w:tab w:val="right" w:pos="851"/>
      </w:tabs>
      <w:spacing w:before="360" w:after="240" w:line="270" w:lineRule="exact"/>
      <w:ind w:left="1134" w:right="1134" w:hanging="1134"/>
    </w:pPr>
    <w:rPr>
      <w:b/>
      <w:sz w:val="24"/>
    </w:rPr>
  </w:style>
  <w:style w:type="paragraph" w:customStyle="1" w:styleId="H23G">
    <w:name w:val="_ H_2/3_G"/>
    <w:basedOn w:val="a"/>
    <w:next w:val="a"/>
    <w:qFormat/>
    <w:rsid w:val="00E925AD"/>
    <w:pPr>
      <w:keepNext/>
      <w:keepLines/>
      <w:tabs>
        <w:tab w:val="right" w:pos="851"/>
      </w:tabs>
      <w:spacing w:before="240" w:after="120" w:line="240" w:lineRule="exact"/>
      <w:ind w:left="1134" w:right="1134" w:hanging="1134"/>
    </w:pPr>
    <w:rPr>
      <w:b/>
    </w:rPr>
  </w:style>
  <w:style w:type="paragraph" w:customStyle="1" w:styleId="H4G">
    <w:name w:val="_ H_4_G"/>
    <w:basedOn w:val="a"/>
    <w:next w:val="a"/>
    <w:qFormat/>
    <w:rsid w:val="00E925AD"/>
    <w:pPr>
      <w:keepNext/>
      <w:keepLines/>
      <w:tabs>
        <w:tab w:val="right" w:pos="851"/>
      </w:tabs>
      <w:spacing w:before="240" w:after="120" w:line="240" w:lineRule="exact"/>
      <w:ind w:left="1134" w:right="1134" w:hanging="1134"/>
    </w:pPr>
    <w:rPr>
      <w:i/>
    </w:rPr>
  </w:style>
  <w:style w:type="paragraph" w:customStyle="1" w:styleId="H56G">
    <w:name w:val="_ H_5/6_G"/>
    <w:basedOn w:val="a"/>
    <w:next w:val="a"/>
    <w:qFormat/>
    <w:rsid w:val="00E925AD"/>
    <w:pPr>
      <w:keepNext/>
      <w:keepLines/>
      <w:tabs>
        <w:tab w:val="right" w:pos="851"/>
      </w:tabs>
      <w:spacing w:before="240" w:after="120" w:line="240" w:lineRule="exact"/>
      <w:ind w:left="1134" w:right="1134" w:hanging="1134"/>
    </w:pPr>
  </w:style>
  <w:style w:type="character" w:styleId="a8">
    <w:name w:val="Hyperlink"/>
    <w:basedOn w:val="a0"/>
    <w:rsid w:val="00336550"/>
    <w:rPr>
      <w:color w:val="0000FF"/>
      <w:u w:val="none"/>
    </w:rPr>
  </w:style>
  <w:style w:type="paragraph" w:styleId="a9">
    <w:name w:val="footer"/>
    <w:aliases w:val="3_G"/>
    <w:basedOn w:val="a"/>
    <w:link w:val="aa"/>
    <w:uiPriority w:val="99"/>
    <w:qFormat/>
    <w:rsid w:val="00E925AD"/>
    <w:pPr>
      <w:spacing w:line="240" w:lineRule="auto"/>
    </w:pPr>
    <w:rPr>
      <w:sz w:val="16"/>
    </w:rPr>
  </w:style>
  <w:style w:type="paragraph" w:styleId="ab">
    <w:name w:val="header"/>
    <w:aliases w:val="6_G"/>
    <w:basedOn w:val="a"/>
    <w:link w:val="ac"/>
    <w:uiPriority w:val="99"/>
    <w:qFormat/>
    <w:rsid w:val="00E925AD"/>
    <w:pPr>
      <w:pBdr>
        <w:bottom w:val="single" w:sz="4" w:space="4" w:color="auto"/>
      </w:pBdr>
      <w:spacing w:line="240" w:lineRule="auto"/>
    </w:pPr>
    <w:rPr>
      <w:b/>
      <w:sz w:val="18"/>
    </w:rPr>
  </w:style>
  <w:style w:type="table" w:styleId="ad">
    <w:name w:val="Table Grid"/>
    <w:basedOn w:val="a1"/>
    <w:semiHidden/>
    <w:rsid w:val="00E925AD"/>
    <w:pPr>
      <w:suppressAutoHyphens/>
      <w:spacing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character" w:styleId="ae">
    <w:name w:val="FollowedHyperlink"/>
    <w:basedOn w:val="a0"/>
    <w:rsid w:val="00336550"/>
    <w:rPr>
      <w:color w:val="0000FF"/>
      <w:u w:val="none"/>
    </w:rPr>
  </w:style>
  <w:style w:type="paragraph" w:styleId="af">
    <w:name w:val="Balloon Text"/>
    <w:basedOn w:val="a"/>
    <w:link w:val="af0"/>
    <w:semiHidden/>
    <w:rsid w:val="0065766B"/>
    <w:pPr>
      <w:spacing w:line="240" w:lineRule="auto"/>
    </w:pPr>
    <w:rPr>
      <w:rFonts w:ascii="Tahoma" w:hAnsi="Tahoma" w:cs="Tahoma"/>
      <w:sz w:val="16"/>
      <w:szCs w:val="16"/>
    </w:rPr>
  </w:style>
  <w:style w:type="character" w:customStyle="1" w:styleId="af0">
    <w:name w:val="吹き出し (文字)"/>
    <w:basedOn w:val="a0"/>
    <w:link w:val="af"/>
    <w:semiHidden/>
    <w:rsid w:val="00780C68"/>
    <w:rPr>
      <w:rFonts w:ascii="Tahoma" w:hAnsi="Tahoma" w:cs="Tahoma"/>
      <w:sz w:val="16"/>
      <w:szCs w:val="16"/>
      <w:lang w:val="en-GB" w:eastAsia="en-US"/>
    </w:rPr>
  </w:style>
  <w:style w:type="paragraph" w:customStyle="1" w:styleId="ParNoG">
    <w:name w:val="_ParNo_G"/>
    <w:basedOn w:val="SingleTxtG"/>
    <w:qFormat/>
    <w:rsid w:val="003845A3"/>
    <w:pPr>
      <w:numPr>
        <w:numId w:val="19"/>
      </w:numPr>
      <w:suppressAutoHyphens w:val="0"/>
    </w:pPr>
  </w:style>
  <w:style w:type="character" w:customStyle="1" w:styleId="SingleTxtGChar">
    <w:name w:val="_ Single Txt_G Char"/>
    <w:link w:val="SingleTxtG"/>
    <w:rsid w:val="00F7066C"/>
    <w:rPr>
      <w:lang w:val="en-GB"/>
    </w:rPr>
  </w:style>
  <w:style w:type="character" w:styleId="af1">
    <w:name w:val="annotation reference"/>
    <w:basedOn w:val="a0"/>
    <w:semiHidden/>
    <w:unhideWhenUsed/>
    <w:rsid w:val="00F417C2"/>
    <w:rPr>
      <w:sz w:val="16"/>
      <w:szCs w:val="16"/>
    </w:rPr>
  </w:style>
  <w:style w:type="paragraph" w:styleId="af2">
    <w:name w:val="annotation text"/>
    <w:basedOn w:val="a"/>
    <w:link w:val="af3"/>
    <w:semiHidden/>
    <w:unhideWhenUsed/>
    <w:rsid w:val="00F417C2"/>
    <w:pPr>
      <w:spacing w:line="240" w:lineRule="auto"/>
    </w:pPr>
  </w:style>
  <w:style w:type="character" w:customStyle="1" w:styleId="af3">
    <w:name w:val="コメント文字列 (文字)"/>
    <w:basedOn w:val="a0"/>
    <w:link w:val="af2"/>
    <w:semiHidden/>
    <w:rsid w:val="00F417C2"/>
    <w:rPr>
      <w:lang w:val="en-GB"/>
    </w:rPr>
  </w:style>
  <w:style w:type="paragraph" w:styleId="af4">
    <w:name w:val="annotation subject"/>
    <w:basedOn w:val="af2"/>
    <w:next w:val="af2"/>
    <w:link w:val="af5"/>
    <w:semiHidden/>
    <w:unhideWhenUsed/>
    <w:rsid w:val="00F417C2"/>
    <w:rPr>
      <w:b/>
      <w:bCs/>
    </w:rPr>
  </w:style>
  <w:style w:type="character" w:customStyle="1" w:styleId="af5">
    <w:name w:val="コメント内容 (文字)"/>
    <w:basedOn w:val="af3"/>
    <w:link w:val="af4"/>
    <w:semiHidden/>
    <w:rsid w:val="00F417C2"/>
    <w:rPr>
      <w:b/>
      <w:bCs/>
      <w:lang w:val="en-GB"/>
    </w:rPr>
  </w:style>
  <w:style w:type="character" w:styleId="af6">
    <w:name w:val="Emphasis"/>
    <w:basedOn w:val="a0"/>
    <w:uiPriority w:val="20"/>
    <w:qFormat/>
    <w:rsid w:val="00675CE5"/>
    <w:rPr>
      <w:i/>
      <w:iCs/>
    </w:rPr>
  </w:style>
  <w:style w:type="paragraph" w:styleId="HTML">
    <w:name w:val="HTML Preformatted"/>
    <w:basedOn w:val="a"/>
    <w:link w:val="HTML0"/>
    <w:semiHidden/>
    <w:unhideWhenUsed/>
    <w:rsid w:val="00D64A8F"/>
    <w:pPr>
      <w:spacing w:line="240" w:lineRule="auto"/>
    </w:pPr>
    <w:rPr>
      <w:rFonts w:ascii="Consolas" w:hAnsi="Consolas"/>
    </w:rPr>
  </w:style>
  <w:style w:type="character" w:customStyle="1" w:styleId="HTML0">
    <w:name w:val="HTML 書式付き (文字)"/>
    <w:basedOn w:val="a0"/>
    <w:link w:val="HTML"/>
    <w:semiHidden/>
    <w:rsid w:val="00D64A8F"/>
    <w:rPr>
      <w:rFonts w:ascii="Consolas" w:hAnsi="Consolas"/>
      <w:lang w:val="en-GB"/>
    </w:rPr>
  </w:style>
  <w:style w:type="character" w:customStyle="1" w:styleId="ac">
    <w:name w:val="ヘッダー (文字)"/>
    <w:aliases w:val="6_G (文字)"/>
    <w:basedOn w:val="a0"/>
    <w:link w:val="ab"/>
    <w:uiPriority w:val="99"/>
    <w:rsid w:val="00E065BC"/>
    <w:rPr>
      <w:b/>
      <w:sz w:val="18"/>
      <w:lang w:val="en-GB"/>
    </w:rPr>
  </w:style>
  <w:style w:type="character" w:customStyle="1" w:styleId="aa">
    <w:name w:val="フッター (文字)"/>
    <w:aliases w:val="3_G (文字)"/>
    <w:basedOn w:val="a0"/>
    <w:link w:val="a9"/>
    <w:uiPriority w:val="99"/>
    <w:rsid w:val="00E065BC"/>
    <w:rPr>
      <w:sz w:val="16"/>
      <w:lang w:val="en-GB"/>
    </w:rPr>
  </w:style>
  <w:style w:type="paragraph" w:styleId="af7">
    <w:name w:val="Signature"/>
    <w:basedOn w:val="a"/>
    <w:link w:val="af8"/>
    <w:uiPriority w:val="7"/>
    <w:unhideWhenUsed/>
    <w:qFormat/>
    <w:rsid w:val="00DF7C46"/>
    <w:pPr>
      <w:suppressAutoHyphens w:val="0"/>
      <w:spacing w:before="40" w:after="360" w:line="240" w:lineRule="auto"/>
      <w:ind w:left="720" w:right="720"/>
      <w:contextualSpacing/>
    </w:pPr>
    <w:rPr>
      <w:rFonts w:asciiTheme="minorHAnsi" w:eastAsiaTheme="minorHAnsi" w:hAnsiTheme="minorHAnsi" w:cstheme="minorBidi"/>
      <w:b/>
      <w:bCs/>
      <w:color w:val="4F81BD" w:themeColor="accent1"/>
      <w:kern w:val="20"/>
      <w:sz w:val="24"/>
      <w:lang w:val="ru-RU" w:eastAsia="ja-JP"/>
    </w:rPr>
  </w:style>
  <w:style w:type="character" w:customStyle="1" w:styleId="af8">
    <w:name w:val="署名 (文字)"/>
    <w:basedOn w:val="a0"/>
    <w:link w:val="af7"/>
    <w:uiPriority w:val="7"/>
    <w:rsid w:val="00DF7C46"/>
    <w:rPr>
      <w:rFonts w:asciiTheme="minorHAnsi" w:eastAsiaTheme="minorHAnsi" w:hAnsiTheme="minorHAnsi" w:cstheme="minorBidi"/>
      <w:b/>
      <w:bCs/>
      <w:color w:val="4F81BD" w:themeColor="accent1"/>
      <w:kern w:val="20"/>
      <w:sz w:val="24"/>
      <w:lang w:val="ru-RU" w:eastAsia="ja-JP"/>
    </w:rPr>
  </w:style>
  <w:style w:type="table" w:styleId="4-1">
    <w:name w:val="Grid Table 4 Accent 1"/>
    <w:basedOn w:val="a1"/>
    <w:uiPriority w:val="49"/>
    <w:rsid w:val="00DF7C46"/>
    <w:rPr>
      <w:rFonts w:asciiTheme="minorHAnsi" w:eastAsiaTheme="minorEastAsia" w:hAnsiTheme="minorHAnsi" w:cstheme="minorBidi"/>
      <w:sz w:val="24"/>
      <w:szCs w:val="24"/>
      <w:lang w:val="ru-RU" w:eastAsia="ja-JP"/>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6931664">
      <w:bodyDiv w:val="1"/>
      <w:marLeft w:val="0"/>
      <w:marRight w:val="0"/>
      <w:marTop w:val="0"/>
      <w:marBottom w:val="0"/>
      <w:divBdr>
        <w:top w:val="none" w:sz="0" w:space="0" w:color="auto"/>
        <w:left w:val="none" w:sz="0" w:space="0" w:color="auto"/>
        <w:bottom w:val="none" w:sz="0" w:space="0" w:color="auto"/>
        <w:right w:val="none" w:sz="0" w:space="0" w:color="auto"/>
      </w:divBdr>
    </w:div>
    <w:div w:id="890842888">
      <w:bodyDiv w:val="1"/>
      <w:marLeft w:val="0"/>
      <w:marRight w:val="0"/>
      <w:marTop w:val="0"/>
      <w:marBottom w:val="0"/>
      <w:divBdr>
        <w:top w:val="none" w:sz="0" w:space="0" w:color="auto"/>
        <w:left w:val="none" w:sz="0" w:space="0" w:color="auto"/>
        <w:bottom w:val="none" w:sz="0" w:space="0" w:color="auto"/>
        <w:right w:val="none" w:sz="0" w:space="0" w:color="auto"/>
      </w:divBdr>
    </w:div>
    <w:div w:id="935820396">
      <w:bodyDiv w:val="1"/>
      <w:marLeft w:val="0"/>
      <w:marRight w:val="0"/>
      <w:marTop w:val="0"/>
      <w:marBottom w:val="0"/>
      <w:divBdr>
        <w:top w:val="none" w:sz="0" w:space="0" w:color="auto"/>
        <w:left w:val="none" w:sz="0" w:space="0" w:color="auto"/>
        <w:bottom w:val="none" w:sz="0" w:space="0" w:color="auto"/>
        <w:right w:val="none" w:sz="0" w:space="0" w:color="auto"/>
      </w:divBdr>
    </w:div>
    <w:div w:id="950815386">
      <w:bodyDiv w:val="1"/>
      <w:marLeft w:val="0"/>
      <w:marRight w:val="0"/>
      <w:marTop w:val="0"/>
      <w:marBottom w:val="0"/>
      <w:divBdr>
        <w:top w:val="none" w:sz="0" w:space="0" w:color="auto"/>
        <w:left w:val="none" w:sz="0" w:space="0" w:color="auto"/>
        <w:bottom w:val="none" w:sz="0" w:space="0" w:color="auto"/>
        <w:right w:val="none" w:sz="0" w:space="0" w:color="auto"/>
      </w:divBdr>
    </w:div>
    <w:div w:id="1247224522">
      <w:bodyDiv w:val="1"/>
      <w:marLeft w:val="0"/>
      <w:marRight w:val="0"/>
      <w:marTop w:val="0"/>
      <w:marBottom w:val="0"/>
      <w:divBdr>
        <w:top w:val="none" w:sz="0" w:space="0" w:color="auto"/>
        <w:left w:val="none" w:sz="0" w:space="0" w:color="auto"/>
        <w:bottom w:val="none" w:sz="0" w:space="0" w:color="auto"/>
        <w:right w:val="none" w:sz="0" w:space="0" w:color="auto"/>
      </w:divBdr>
      <w:divsChild>
        <w:div w:id="96946181">
          <w:marLeft w:val="360"/>
          <w:marRight w:val="0"/>
          <w:marTop w:val="0"/>
          <w:marBottom w:val="0"/>
          <w:divBdr>
            <w:top w:val="none" w:sz="0" w:space="0" w:color="auto"/>
            <w:left w:val="none" w:sz="0" w:space="0" w:color="auto"/>
            <w:bottom w:val="none" w:sz="0" w:space="0" w:color="auto"/>
            <w:right w:val="none" w:sz="0" w:space="0" w:color="auto"/>
          </w:divBdr>
        </w:div>
        <w:div w:id="1206983837">
          <w:marLeft w:val="360"/>
          <w:marRight w:val="0"/>
          <w:marTop w:val="0"/>
          <w:marBottom w:val="0"/>
          <w:divBdr>
            <w:top w:val="none" w:sz="0" w:space="0" w:color="auto"/>
            <w:left w:val="none" w:sz="0" w:space="0" w:color="auto"/>
            <w:bottom w:val="none" w:sz="0" w:space="0" w:color="auto"/>
            <w:right w:val="none" w:sz="0" w:space="0" w:color="auto"/>
          </w:divBdr>
        </w:div>
      </w:divsChild>
    </w:div>
    <w:div w:id="16351375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emf"/><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webSettings" Target="webSettings.xml"/><Relationship Id="rId12" Type="http://schemas.openxmlformats.org/officeDocument/2006/relationships/image" Target="media/image3.emf"/><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image" Target="media/image6.emf"/><Relationship Id="rId23" Type="http://schemas.openxmlformats.org/officeDocument/2006/relationships/theme" Target="theme/theme1.xml"/><Relationship Id="rId10" Type="http://schemas.openxmlformats.org/officeDocument/2006/relationships/image" Target="media/image1.emf"/><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emf"/><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C168C30B6B6D64891B8AA6035CFB24E" ma:contentTypeVersion="17" ma:contentTypeDescription="Create a new document." ma:contentTypeScope="" ma:versionID="a7450c31903cad5e15a64f23c0a503b9">
  <xsd:schema xmlns:xsd="http://www.w3.org/2001/XMLSchema" xmlns:xs="http://www.w3.org/2001/XMLSchema" xmlns:p="http://schemas.microsoft.com/office/2006/metadata/properties" xmlns:ns2="091e5ae7-c31f-43e0-b380-74509edc0e9e" xmlns:ns3="009fae64-a0e6-4869-b94e-2533145ac23d" xmlns:ns4="985ec44e-1bab-4c0b-9df0-6ba128686fc9" targetNamespace="http://schemas.microsoft.com/office/2006/metadata/properties" ma:root="true" ma:fieldsID="5584cae2a9988942cb229f8cc46b21c5" ns2:_="" ns3:_="" ns4:_="">
    <xsd:import namespace="091e5ae7-c31f-43e0-b380-74509edc0e9e"/>
    <xsd:import namespace="009fae64-a0e6-4869-b94e-2533145ac23d"/>
    <xsd:import namespace="985ec44e-1bab-4c0b-9df0-6ba128686fc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element ref="ns2:MediaServiceLocation" minOccurs="0"/>
                <xsd:element ref="ns2:MediaServiceOCR" minOccurs="0"/>
                <xsd:element ref="ns3:SharedWithUsers" minOccurs="0"/>
                <xsd:element ref="ns3:SharedWithDetails" minOccurs="0"/>
                <xsd:element ref="ns2:MediaLengthInSeconds" minOccurs="0"/>
                <xsd:element ref="ns2:_Flow_SignoffStatu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91e5ae7-c31f-43e0-b380-74509edc0e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_Flow_SignoffStatus" ma:index="21" nillable="true" ma:displayName="Sign-off status" ma:internalName="Sign_x002d_off_x0020_status">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09fae64-a0e6-4869-b94e-2533145ac23d"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85ec44e-1bab-4c0b-9df0-6ba128686fc9"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43e9b0b9-99f3-4c1a-a363-23506d8d5dc7}" ma:internalName="TaxCatchAll" ma:showField="CatchAllData" ma:web="009fae64-a0e6-4869-b94e-2533145ac2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Flow_SignoffStatus xmlns="091e5ae7-c31f-43e0-b380-74509edc0e9e" xsi:nil="true"/>
    <lcf76f155ced4ddcb4097134ff3c332f xmlns="091e5ae7-c31f-43e0-b380-74509edc0e9e">
      <Terms xmlns="http://schemas.microsoft.com/office/infopath/2007/PartnerControls"/>
    </lcf76f155ced4ddcb4097134ff3c332f>
    <TaxCatchAll xmlns="985ec44e-1bab-4c0b-9df0-6ba128686fc9" xsi:nil="true"/>
  </documentManagement>
</p:properties>
</file>

<file path=customXml/itemProps1.xml><?xml version="1.0" encoding="utf-8"?>
<ds:datastoreItem xmlns:ds="http://schemas.openxmlformats.org/officeDocument/2006/customXml" ds:itemID="{5F87B03E-9146-4A7B-B0B1-64BD28F8A5C9}">
  <ds:schemaRefs>
    <ds:schemaRef ds:uri="http://schemas.microsoft.com/sharepoint/v3/contenttype/forms"/>
  </ds:schemaRefs>
</ds:datastoreItem>
</file>

<file path=customXml/itemProps2.xml><?xml version="1.0" encoding="utf-8"?>
<ds:datastoreItem xmlns:ds="http://schemas.openxmlformats.org/officeDocument/2006/customXml" ds:itemID="{88DCB813-A32D-448C-B17C-F906E92157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91e5ae7-c31f-43e0-b380-74509edc0e9e"/>
    <ds:schemaRef ds:uri="009fae64-a0e6-4869-b94e-2533145ac23d"/>
    <ds:schemaRef ds:uri="985ec44e-1bab-4c0b-9df0-6ba128686fc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C8BEB61-A8A7-4409-BE60-3D7035170135}">
  <ds:schemaRefs>
    <ds:schemaRef ds:uri="http://schemas.microsoft.com/office/2006/metadata/properties"/>
    <ds:schemaRef ds:uri="http://schemas.microsoft.com/office/infopath/2007/PartnerControls"/>
    <ds:schemaRef ds:uri="091e5ae7-c31f-43e0-b380-74509edc0e9e"/>
    <ds:schemaRef ds:uri="985ec44e-1bab-4c0b-9df0-6ba128686fc9"/>
  </ds:schemaRefs>
</ds:datastoreItem>
</file>

<file path=docProps/app.xml><?xml version="1.0" encoding="utf-8"?>
<Properties xmlns="http://schemas.openxmlformats.org/officeDocument/2006/extended-properties" xmlns:vt="http://schemas.openxmlformats.org/officeDocument/2006/docPropsVTypes">
  <Template>Normal.dotm</Template>
  <TotalTime>401</TotalTime>
  <Pages>16</Pages>
  <Words>3243</Words>
  <Characters>18488</Characters>
  <Application>Microsoft Office Word</Application>
  <DocSecurity>0</DocSecurity>
  <Lines>154</Lines>
  <Paragraphs>43</Paragraphs>
  <ScaleCrop>false</ScaleCrop>
  <HeadingPairs>
    <vt:vector size="6" baseType="variant">
      <vt:variant>
        <vt:lpstr>タイトル</vt:lpstr>
      </vt:variant>
      <vt:variant>
        <vt:i4>1</vt:i4>
      </vt:variant>
      <vt:variant>
        <vt:lpstr>Title</vt:lpstr>
      </vt:variant>
      <vt:variant>
        <vt:i4>1</vt:i4>
      </vt:variant>
      <vt:variant>
        <vt:lpstr>Titre</vt:lpstr>
      </vt:variant>
      <vt:variant>
        <vt:i4>1</vt:i4>
      </vt:variant>
    </vt:vector>
  </HeadingPairs>
  <TitlesOfParts>
    <vt:vector size="3" baseType="lpstr">
      <vt:lpstr>ECE/TRADE/C/CEFACT/2021/2</vt:lpstr>
      <vt:lpstr>ECE/TRADE/C/CEFACT/2021/2</vt:lpstr>
      <vt:lpstr>United Nations</vt:lpstr>
    </vt:vector>
  </TitlesOfParts>
  <Company>CSD</Company>
  <LinksUpToDate>false</LinksUpToDate>
  <CharactersWithSpaces>21688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ECE/TRADE/C/CEFACT/2021/2</dc:title>
  <dc:subject>2105269</dc:subject>
  <dc:creator>Amelia Delle_Foglie</dc:creator>
  <cp:keywords/>
  <dc:description/>
  <cp:lastModifiedBy>菅又 久直</cp:lastModifiedBy>
  <cp:revision>16</cp:revision>
  <cp:lastPrinted>2022-10-14T07:38:00Z</cp:lastPrinted>
  <dcterms:created xsi:type="dcterms:W3CDTF">2022-10-14T02:44:00Z</dcterms:created>
  <dcterms:modified xsi:type="dcterms:W3CDTF">2022-10-26T06:14:00Z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0x0101006C168C30B6B6D64891B8AA6035CFB24E</vt:lpwstr>
  </property>
  <property fmtid="{D5CDD505-2E9C-101B-9397-08002B2CF9AE}" pid="3" name="MediaServiceImageTags">
    <vt:lpwstr/>
  </property>
  <property fmtid="{D5CDD505-2E9C-101B-9397-08002B2CF9AE}" pid="4" name="GrammarlyDocumentId">
    <vt:lpwstr>fda 6 af 799 f 76 e 5 f 290 d 3758565192 a 6 f 221 a 85 b 553 a 12 fc 85 f 74989 bfc 1 a 001</vt:lpwstr>
  </property>
</Properties>
</file>