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1057" w14:textId="77777777" w:rsidR="00BF292B" w:rsidRPr="003F6CDC" w:rsidRDefault="00BF292B" w:rsidP="00BF292B">
      <w:pPr>
        <w:jc w:val="center"/>
        <w:rPr>
          <w:sz w:val="28"/>
          <w:szCs w:val="28"/>
          <w:u w:val="single"/>
        </w:rPr>
      </w:pPr>
      <w:r>
        <w:rPr>
          <w:rFonts w:hint="eastAsia"/>
          <w:sz w:val="28"/>
          <w:szCs w:val="28"/>
          <w:u w:val="single"/>
        </w:rPr>
        <w:t>技術手法委員</w:t>
      </w:r>
      <w:r w:rsidRPr="003F6CDC">
        <w:rPr>
          <w:sz w:val="28"/>
          <w:szCs w:val="28"/>
          <w:u w:val="single"/>
        </w:rPr>
        <w:t>会の</w:t>
      </w:r>
      <w:r>
        <w:rPr>
          <w:rFonts w:hint="eastAsia"/>
          <w:sz w:val="28"/>
          <w:szCs w:val="28"/>
          <w:u w:val="single"/>
        </w:rPr>
        <w:t>発足</w:t>
      </w:r>
      <w:r w:rsidRPr="003F6CDC">
        <w:rPr>
          <w:sz w:val="28"/>
          <w:szCs w:val="28"/>
          <w:u w:val="single"/>
        </w:rPr>
        <w:t>に関する趣意書</w:t>
      </w:r>
    </w:p>
    <w:p w14:paraId="413FD9E2" w14:textId="77777777" w:rsidR="00BF292B" w:rsidRDefault="00BF292B" w:rsidP="00BF292B">
      <w:r>
        <w:rPr>
          <w:rFonts w:hint="eastAsia"/>
        </w:rPr>
        <w:t xml:space="preserve">　2021年度まで、国連C</w:t>
      </w:r>
      <w:r>
        <w:t>EFACT</w:t>
      </w:r>
      <w:r>
        <w:rPr>
          <w:rFonts w:hint="eastAsia"/>
        </w:rPr>
        <w:t>に関わる技術・手法については、サプライチェーン情報基盤研究会が担当してきたが、国連C</w:t>
      </w:r>
      <w:r>
        <w:t>EFACT</w:t>
      </w:r>
      <w:r>
        <w:rPr>
          <w:rFonts w:hint="eastAsia"/>
        </w:rPr>
        <w:t>日本委員会（J</w:t>
      </w:r>
      <w:r>
        <w:t>EC</w:t>
      </w:r>
      <w:r>
        <w:rPr>
          <w:rFonts w:hint="eastAsia"/>
        </w:rPr>
        <w:t>）の下に新たに技術手法委員会を設置し、J</w:t>
      </w:r>
      <w:r>
        <w:t>EC</w:t>
      </w:r>
      <w:r>
        <w:rPr>
          <w:rFonts w:hint="eastAsia"/>
        </w:rPr>
        <w:t>の作業グループとしてサプライチェーン情報基盤研究会（S</w:t>
      </w:r>
      <w:r>
        <w:t>IPS</w:t>
      </w:r>
      <w:r>
        <w:rPr>
          <w:rFonts w:hint="eastAsia"/>
        </w:rPr>
        <w:t>）の活動を引き継ぐこととする。</w:t>
      </w:r>
    </w:p>
    <w:p w14:paraId="49968BBE" w14:textId="77777777" w:rsidR="00BF292B" w:rsidRDefault="00BF292B" w:rsidP="00BF292B"/>
    <w:p w14:paraId="2F7BCD4B" w14:textId="77777777" w:rsidR="00BF292B" w:rsidRDefault="00BF292B" w:rsidP="00BF292B">
      <w:r>
        <w:rPr>
          <w:rFonts w:hint="eastAsia"/>
        </w:rPr>
        <w:t>【技術手法委員会活動の目的】</w:t>
      </w:r>
    </w:p>
    <w:p w14:paraId="3B7F84D9" w14:textId="77777777" w:rsidR="00BF292B" w:rsidRDefault="00BF292B" w:rsidP="00BF292B">
      <w:pPr>
        <w:spacing w:line="320" w:lineRule="exact"/>
        <w:ind w:firstLineChars="100" w:firstLine="210"/>
        <w:rPr>
          <w:rFonts w:hAnsi="ＭＳ 明朝"/>
          <w:color w:val="000000"/>
          <w:kern w:val="0"/>
          <w:szCs w:val="21"/>
        </w:rPr>
      </w:pPr>
      <w:r>
        <w:rPr>
          <w:rFonts w:hAnsi="ＭＳ 明朝" w:hint="eastAsia"/>
          <w:color w:val="000000"/>
          <w:kern w:val="0"/>
          <w:szCs w:val="21"/>
        </w:rPr>
        <w:t>国連C</w:t>
      </w:r>
      <w:r>
        <w:rPr>
          <w:rFonts w:hAnsi="ＭＳ 明朝"/>
          <w:color w:val="000000"/>
          <w:kern w:val="0"/>
          <w:szCs w:val="21"/>
        </w:rPr>
        <w:t>EFACT</w:t>
      </w:r>
      <w:r>
        <w:rPr>
          <w:rFonts w:hAnsi="ＭＳ 明朝" w:hint="eastAsia"/>
          <w:color w:val="000000"/>
          <w:kern w:val="0"/>
          <w:szCs w:val="21"/>
        </w:rPr>
        <w:t>標準に則り、グローバルの視点からサプライチェーンにおける情報連携のプラットフォーム構築を目指し、経済産業省により進められてきたビジネスインフラ整備事業である業界横断E</w:t>
      </w:r>
      <w:r>
        <w:rPr>
          <w:rFonts w:hAnsi="ＭＳ 明朝"/>
          <w:color w:val="000000"/>
          <w:kern w:val="0"/>
          <w:szCs w:val="21"/>
        </w:rPr>
        <w:t>DI</w:t>
      </w:r>
      <w:r>
        <w:rPr>
          <w:rFonts w:hAnsi="ＭＳ 明朝" w:hint="eastAsia"/>
          <w:color w:val="000000"/>
          <w:kern w:val="0"/>
          <w:szCs w:val="21"/>
        </w:rPr>
        <w:t>仕様を継承し、グローバルな情報連携との相互運用性を保ちながら、その成果を金流・商流・物流の情報連携を含め、サプライチェーンに関る業務・業種に幅広く拡充してゆくことを目的とする。</w:t>
      </w:r>
    </w:p>
    <w:p w14:paraId="26184111" w14:textId="77777777" w:rsidR="00BF292B" w:rsidRDefault="00BF292B" w:rsidP="00BF292B">
      <w:r>
        <w:rPr>
          <w:rFonts w:hint="eastAsia"/>
        </w:rPr>
        <w:t>【技術手法委員会活動の範囲】</w:t>
      </w:r>
    </w:p>
    <w:p w14:paraId="0B84E08D" w14:textId="77777777" w:rsidR="00BF292B" w:rsidRDefault="00BF292B" w:rsidP="00BF292B">
      <w:pPr>
        <w:ind w:firstLineChars="100" w:firstLine="210"/>
        <w:rPr>
          <w:bCs/>
          <w:iCs/>
          <w:szCs w:val="21"/>
        </w:rPr>
      </w:pPr>
      <w:r w:rsidRPr="0015105C">
        <w:rPr>
          <w:rFonts w:hint="eastAsia"/>
          <w:bCs/>
          <w:iCs/>
          <w:szCs w:val="21"/>
        </w:rPr>
        <w:t>国連C</w:t>
      </w:r>
      <w:r w:rsidRPr="0015105C">
        <w:rPr>
          <w:bCs/>
          <w:iCs/>
          <w:szCs w:val="21"/>
        </w:rPr>
        <w:t>EFACT</w:t>
      </w:r>
      <w:r w:rsidRPr="0015105C">
        <w:rPr>
          <w:rFonts w:hint="eastAsia"/>
          <w:bCs/>
          <w:iCs/>
          <w:szCs w:val="21"/>
        </w:rPr>
        <w:t>の活動成果である最新の技術標準を国内産業界に紹介し適用を推進すること、及び国内産業界の情報連携に関わる技術要件を国連C</w:t>
      </w:r>
      <w:r w:rsidRPr="0015105C">
        <w:rPr>
          <w:bCs/>
          <w:iCs/>
          <w:szCs w:val="21"/>
        </w:rPr>
        <w:t>EFACT</w:t>
      </w:r>
      <w:r w:rsidRPr="0015105C">
        <w:rPr>
          <w:rFonts w:hint="eastAsia"/>
          <w:bCs/>
          <w:iCs/>
          <w:szCs w:val="21"/>
        </w:rPr>
        <w:t>標準へ反映させることを主たる</w:t>
      </w:r>
      <w:r>
        <w:rPr>
          <w:rFonts w:hint="eastAsia"/>
          <w:bCs/>
          <w:iCs/>
          <w:szCs w:val="21"/>
        </w:rPr>
        <w:t>活動範囲</w:t>
      </w:r>
      <w:r w:rsidRPr="0015105C">
        <w:rPr>
          <w:rFonts w:hint="eastAsia"/>
          <w:bCs/>
          <w:iCs/>
          <w:szCs w:val="21"/>
        </w:rPr>
        <w:t>と</w:t>
      </w:r>
      <w:r>
        <w:rPr>
          <w:rFonts w:hint="eastAsia"/>
          <w:bCs/>
          <w:iCs/>
          <w:szCs w:val="21"/>
        </w:rPr>
        <w:t>する。</w:t>
      </w:r>
    </w:p>
    <w:p w14:paraId="03A73D9E" w14:textId="77777777" w:rsidR="00BF292B" w:rsidRDefault="00BF292B" w:rsidP="00BF292B">
      <w:r>
        <w:rPr>
          <w:rFonts w:hint="eastAsia"/>
        </w:rPr>
        <w:t>【技術手法委員会の体制】</w:t>
      </w:r>
    </w:p>
    <w:p w14:paraId="41F3994F" w14:textId="77777777" w:rsidR="00BF292B" w:rsidRDefault="00BF292B" w:rsidP="00BF292B">
      <w:pPr>
        <w:ind w:firstLineChars="100" w:firstLine="210"/>
      </w:pPr>
      <w:r w:rsidRPr="00826D17">
        <w:rPr>
          <w:rFonts w:hint="eastAsia"/>
          <w:bCs/>
          <w:iCs/>
          <w:szCs w:val="21"/>
        </w:rPr>
        <w:t>技術手法委員会の配下には、次の２つのタスクフォースを設置する。技術手法</w:t>
      </w:r>
      <w:r>
        <w:rPr>
          <w:rFonts w:hint="eastAsia"/>
          <w:bCs/>
          <w:iCs/>
          <w:szCs w:val="21"/>
        </w:rPr>
        <w:t>委員会及びタスクフォースの</w:t>
      </w:r>
      <w:r>
        <w:rPr>
          <w:rFonts w:hint="eastAsia"/>
        </w:rPr>
        <w:t>委員はS</w:t>
      </w:r>
      <w:r>
        <w:t>IPS</w:t>
      </w:r>
      <w:r>
        <w:rPr>
          <w:rFonts w:hint="eastAsia"/>
        </w:rPr>
        <w:t>の会員を母体とする。運営委員会の推薦により、国連CE</w:t>
      </w:r>
      <w:r>
        <w:t>FACT</w:t>
      </w:r>
      <w:r>
        <w:rPr>
          <w:rFonts w:hint="eastAsia"/>
        </w:rPr>
        <w:t>日本委員会の委員は</w:t>
      </w:r>
      <w:r w:rsidRPr="00826D17">
        <w:rPr>
          <w:rFonts w:hint="eastAsia"/>
          <w:bCs/>
          <w:iCs/>
          <w:szCs w:val="21"/>
        </w:rPr>
        <w:t>技術手法</w:t>
      </w:r>
      <w:r>
        <w:rPr>
          <w:rFonts w:hint="eastAsia"/>
          <w:bCs/>
          <w:iCs/>
          <w:szCs w:val="21"/>
        </w:rPr>
        <w:t>委員会の</w:t>
      </w:r>
      <w:r>
        <w:rPr>
          <w:rFonts w:hint="eastAsia"/>
        </w:rPr>
        <w:t>委員になることができる。委員長は委員の互選により選定される。</w:t>
      </w:r>
    </w:p>
    <w:p w14:paraId="394D4D68" w14:textId="77777777" w:rsidR="00BF292B" w:rsidRPr="0015105C" w:rsidRDefault="00BF292B" w:rsidP="00BF292B">
      <w:pPr>
        <w:rPr>
          <w:bCs/>
          <w:iCs/>
          <w:szCs w:val="21"/>
        </w:rPr>
      </w:pPr>
      <w:r w:rsidRPr="0015105C">
        <w:rPr>
          <w:rFonts w:hint="eastAsia"/>
        </w:rPr>
        <w:t>技術手法委員会及び配下のタスクフォース</w:t>
      </w:r>
      <w:r>
        <w:rPr>
          <w:rFonts w:hint="eastAsia"/>
        </w:rPr>
        <w:t>の運営事務局はS</w:t>
      </w:r>
      <w:r>
        <w:t>IPS</w:t>
      </w:r>
      <w:r>
        <w:rPr>
          <w:rFonts w:hint="eastAsia"/>
        </w:rPr>
        <w:t>が務める。</w:t>
      </w:r>
    </w:p>
    <w:p w14:paraId="659F6339" w14:textId="77777777" w:rsidR="00BF292B" w:rsidRDefault="00BF292B" w:rsidP="00BF292B">
      <w:pPr>
        <w:numPr>
          <w:ilvl w:val="0"/>
          <w:numId w:val="1"/>
        </w:numPr>
        <w:rPr>
          <w:bCs/>
          <w:iCs/>
          <w:szCs w:val="21"/>
        </w:rPr>
      </w:pPr>
      <w:r w:rsidRPr="0015105C">
        <w:rPr>
          <w:rFonts w:hint="eastAsia"/>
          <w:bCs/>
          <w:iCs/>
          <w:szCs w:val="21"/>
        </w:rPr>
        <w:t>国際連携タスクフォース</w:t>
      </w:r>
    </w:p>
    <w:p w14:paraId="2EAE76BF" w14:textId="77777777" w:rsidR="00BF292B" w:rsidRPr="0015105C" w:rsidRDefault="00BF292B" w:rsidP="00BF292B">
      <w:pPr>
        <w:ind w:left="630"/>
        <w:rPr>
          <w:bCs/>
          <w:iCs/>
          <w:szCs w:val="21"/>
        </w:rPr>
      </w:pPr>
      <w:r>
        <w:rPr>
          <w:rFonts w:hint="eastAsia"/>
        </w:rPr>
        <w:t>国際連携タスクフォースは、</w:t>
      </w:r>
      <w:r w:rsidRPr="00B42B18">
        <w:rPr>
          <w:rFonts w:hint="eastAsia"/>
        </w:rPr>
        <w:t>新たな経済連携協定や貿易円滑化協定などの国際取引の枠組みの中で、商取引・金融・生産</w:t>
      </w:r>
      <w:r>
        <w:rPr>
          <w:rFonts w:hint="eastAsia"/>
        </w:rPr>
        <w:t>・物流</w:t>
      </w:r>
      <w:r w:rsidRPr="00B42B18">
        <w:rPr>
          <w:rFonts w:hint="eastAsia"/>
        </w:rPr>
        <w:t>の情報連携によるビジネスインフラ構築のために、国連CEFACTおよびアジア地域における国際連携調査研究を行う。</w:t>
      </w:r>
    </w:p>
    <w:p w14:paraId="760E4C95" w14:textId="77777777" w:rsidR="00BF292B" w:rsidRDefault="00BF292B" w:rsidP="00BF292B">
      <w:pPr>
        <w:numPr>
          <w:ilvl w:val="0"/>
          <w:numId w:val="1"/>
        </w:numPr>
        <w:rPr>
          <w:bCs/>
          <w:iCs/>
          <w:szCs w:val="21"/>
        </w:rPr>
      </w:pPr>
      <w:r w:rsidRPr="0015105C">
        <w:rPr>
          <w:rFonts w:hint="eastAsia"/>
          <w:bCs/>
          <w:iCs/>
          <w:szCs w:val="21"/>
        </w:rPr>
        <w:t>業界横断E</w:t>
      </w:r>
      <w:r w:rsidRPr="0015105C">
        <w:rPr>
          <w:bCs/>
          <w:iCs/>
          <w:szCs w:val="21"/>
        </w:rPr>
        <w:t>DI</w:t>
      </w:r>
      <w:r w:rsidRPr="0015105C">
        <w:rPr>
          <w:rFonts w:hint="eastAsia"/>
          <w:bCs/>
          <w:iCs/>
          <w:szCs w:val="21"/>
        </w:rPr>
        <w:t>タスクフォース</w:t>
      </w:r>
    </w:p>
    <w:p w14:paraId="1D9CF01C" w14:textId="77777777" w:rsidR="00BF292B" w:rsidRPr="00926BCF" w:rsidRDefault="00BF292B" w:rsidP="00BF292B">
      <w:pPr>
        <w:ind w:left="630"/>
        <w:rPr>
          <w:bCs/>
          <w:iCs/>
          <w:szCs w:val="21"/>
        </w:rPr>
      </w:pPr>
      <w:r>
        <w:rPr>
          <w:rFonts w:hint="eastAsia"/>
        </w:rPr>
        <w:t>業界横断EDIタスクフォースは、国連C</w:t>
      </w:r>
      <w:r>
        <w:t>EFACT</w:t>
      </w:r>
      <w:r>
        <w:rPr>
          <w:rFonts w:hint="eastAsia"/>
        </w:rPr>
        <w:t>共通辞書とタイムリーに連動する国内用の業界横断E</w:t>
      </w:r>
      <w:r>
        <w:t>DI</w:t>
      </w:r>
      <w:r>
        <w:rPr>
          <w:rFonts w:hint="eastAsia"/>
        </w:rPr>
        <w:t>辞書を保守管理し、当該辞書を核にした業界横断E</w:t>
      </w:r>
      <w:r>
        <w:t>DI</w:t>
      </w:r>
      <w:r>
        <w:rPr>
          <w:rFonts w:hint="eastAsia"/>
        </w:rPr>
        <w:t>仕様を国内産業界に展開する。</w:t>
      </w:r>
    </w:p>
    <w:p w14:paraId="28B41EF1" w14:textId="77777777" w:rsidR="00BF292B" w:rsidRDefault="00BF292B" w:rsidP="00BF292B">
      <w:r>
        <w:rPr>
          <w:rFonts w:hint="eastAsia"/>
        </w:rPr>
        <w:t>【技術手法委員会の開催】</w:t>
      </w:r>
    </w:p>
    <w:p w14:paraId="2113C2F1" w14:textId="77777777" w:rsidR="00BF292B" w:rsidRPr="00C10470" w:rsidRDefault="00BF292B" w:rsidP="00BF292B">
      <w:pPr>
        <w:tabs>
          <w:tab w:val="left" w:pos="660"/>
        </w:tabs>
        <w:ind w:firstLineChars="100" w:firstLine="210"/>
      </w:pPr>
      <w:r w:rsidRPr="0015105C">
        <w:rPr>
          <w:rFonts w:hint="eastAsia"/>
        </w:rPr>
        <w:t>技術手法委員会は年間2回</w:t>
      </w:r>
      <w:r>
        <w:rPr>
          <w:rFonts w:hint="eastAsia"/>
        </w:rPr>
        <w:t>、配下のタスクフォースは年間5回</w:t>
      </w:r>
      <w:r w:rsidRPr="0015105C">
        <w:rPr>
          <w:rFonts w:hint="eastAsia"/>
        </w:rPr>
        <w:t>程度を目安に開催する。</w:t>
      </w:r>
    </w:p>
    <w:p w14:paraId="20419615" w14:textId="58642EBA" w:rsidR="002B31B2" w:rsidRDefault="00BF292B" w:rsidP="00BF292B">
      <w:r>
        <w:br w:type="page"/>
      </w:r>
      <w:r w:rsidR="00894A73" w:rsidRPr="00894A73">
        <w:lastRenderedPageBreak/>
        <w:drawing>
          <wp:inline distT="0" distB="0" distL="0" distR="0" wp14:anchorId="0AF410B3" wp14:editId="778A4A13">
            <wp:extent cx="5400040" cy="30365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036570"/>
                    </a:xfrm>
                    <a:prstGeom prst="rect">
                      <a:avLst/>
                    </a:prstGeom>
                    <a:noFill/>
                    <a:ln>
                      <a:noFill/>
                    </a:ln>
                  </pic:spPr>
                </pic:pic>
              </a:graphicData>
            </a:graphic>
          </wp:inline>
        </w:drawing>
      </w:r>
    </w:p>
    <w:sectPr w:rsidR="002B31B2">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D4296" w14:textId="77777777" w:rsidR="00FC5A39" w:rsidRDefault="00FC5A39" w:rsidP="00BF292B">
      <w:r>
        <w:separator/>
      </w:r>
    </w:p>
  </w:endnote>
  <w:endnote w:type="continuationSeparator" w:id="0">
    <w:p w14:paraId="60EC22AF" w14:textId="77777777" w:rsidR="00FC5A39" w:rsidRDefault="00FC5A39" w:rsidP="00BF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CF608" w14:textId="77777777" w:rsidR="00FC5A39" w:rsidRDefault="00FC5A39" w:rsidP="00BF292B">
      <w:r>
        <w:separator/>
      </w:r>
    </w:p>
  </w:footnote>
  <w:footnote w:type="continuationSeparator" w:id="0">
    <w:p w14:paraId="754EA010" w14:textId="77777777" w:rsidR="00FC5A39" w:rsidRDefault="00FC5A39" w:rsidP="00BF2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CA85" w14:textId="3EE5E1DC" w:rsidR="00BF292B" w:rsidRDefault="00BF292B" w:rsidP="00BF292B">
    <w:pPr>
      <w:pStyle w:val="a3"/>
      <w:jc w:val="right"/>
    </w:pPr>
    <w:r>
      <w:rPr>
        <w:rFonts w:hint="eastAsia"/>
      </w:rPr>
      <w:t>技術手法2</w:t>
    </w:r>
    <w:r>
      <w:t>022-1-03</w:t>
    </w:r>
  </w:p>
  <w:p w14:paraId="0B2EE7EB" w14:textId="77777777" w:rsidR="00BF292B" w:rsidRDefault="00BF292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D6411"/>
    <w:multiLevelType w:val="hybridMultilevel"/>
    <w:tmpl w:val="44D2AFE4"/>
    <w:lvl w:ilvl="0" w:tplc="4810E5D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1110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92B"/>
    <w:rsid w:val="002B31B2"/>
    <w:rsid w:val="00894A73"/>
    <w:rsid w:val="00BF292B"/>
    <w:rsid w:val="00FC5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7E47DA"/>
  <w15:chartTrackingRefBased/>
  <w15:docId w15:val="{8A3365F1-283C-4D99-8B89-D1DED45F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9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292B"/>
    <w:pPr>
      <w:tabs>
        <w:tab w:val="center" w:pos="4252"/>
        <w:tab w:val="right" w:pos="8504"/>
      </w:tabs>
      <w:snapToGrid w:val="0"/>
    </w:pPr>
  </w:style>
  <w:style w:type="character" w:customStyle="1" w:styleId="a4">
    <w:name w:val="ヘッダー (文字)"/>
    <w:basedOn w:val="a0"/>
    <w:link w:val="a3"/>
    <w:uiPriority w:val="99"/>
    <w:rsid w:val="00BF292B"/>
  </w:style>
  <w:style w:type="paragraph" w:styleId="a5">
    <w:name w:val="footer"/>
    <w:basedOn w:val="a"/>
    <w:link w:val="a6"/>
    <w:uiPriority w:val="99"/>
    <w:unhideWhenUsed/>
    <w:rsid w:val="00BF292B"/>
    <w:pPr>
      <w:tabs>
        <w:tab w:val="center" w:pos="4252"/>
        <w:tab w:val="right" w:pos="8504"/>
      </w:tabs>
      <w:snapToGrid w:val="0"/>
    </w:pPr>
  </w:style>
  <w:style w:type="character" w:customStyle="1" w:styleId="a6">
    <w:name w:val="フッター (文字)"/>
    <w:basedOn w:val="a0"/>
    <w:link w:val="a5"/>
    <w:uiPriority w:val="99"/>
    <w:rsid w:val="00BF2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1</cp:revision>
  <dcterms:created xsi:type="dcterms:W3CDTF">2022-06-23T02:41:00Z</dcterms:created>
  <dcterms:modified xsi:type="dcterms:W3CDTF">2022-06-23T02:49:00Z</dcterms:modified>
</cp:coreProperties>
</file>