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68F816" w14:textId="50AA4C78" w:rsidR="002B31B2" w:rsidRPr="00F900C0" w:rsidRDefault="00F900C0" w:rsidP="00F900C0">
      <w:pPr>
        <w:jc w:val="center"/>
        <w:rPr>
          <w:sz w:val="28"/>
          <w:szCs w:val="28"/>
        </w:rPr>
      </w:pPr>
      <w:r w:rsidRPr="00F900C0">
        <w:rPr>
          <w:rFonts w:hint="eastAsia"/>
          <w:sz w:val="28"/>
          <w:szCs w:val="28"/>
        </w:rPr>
        <w:t>国連C</w:t>
      </w:r>
      <w:r w:rsidRPr="00F900C0">
        <w:rPr>
          <w:sz w:val="28"/>
          <w:szCs w:val="28"/>
        </w:rPr>
        <w:t>EFACT</w:t>
      </w:r>
      <w:r w:rsidRPr="00F900C0">
        <w:rPr>
          <w:rFonts w:hint="eastAsia"/>
          <w:sz w:val="28"/>
          <w:szCs w:val="28"/>
        </w:rPr>
        <w:t>活動計画　2021年―2022年</w:t>
      </w:r>
    </w:p>
    <w:p w14:paraId="30446632" w14:textId="48AF3E37" w:rsidR="00F900C0" w:rsidRDefault="00F900C0" w:rsidP="00F900C0">
      <w:pPr>
        <w:jc w:val="center"/>
        <w:rPr>
          <w:sz w:val="28"/>
          <w:szCs w:val="28"/>
        </w:rPr>
      </w:pPr>
      <w:r w:rsidRPr="00F900C0">
        <w:rPr>
          <w:rFonts w:hint="eastAsia"/>
          <w:sz w:val="28"/>
          <w:szCs w:val="28"/>
        </w:rPr>
        <w:t>（S</w:t>
      </w:r>
      <w:r w:rsidRPr="00F900C0">
        <w:rPr>
          <w:sz w:val="28"/>
          <w:szCs w:val="28"/>
        </w:rPr>
        <w:t>PEC</w:t>
      </w:r>
      <w:r w:rsidRPr="00F900C0">
        <w:rPr>
          <w:rFonts w:hint="eastAsia"/>
          <w:sz w:val="28"/>
          <w:szCs w:val="28"/>
        </w:rPr>
        <w:t xml:space="preserve"> </w:t>
      </w:r>
      <w:r w:rsidRPr="00F900C0">
        <w:rPr>
          <w:sz w:val="28"/>
          <w:szCs w:val="28"/>
        </w:rPr>
        <w:t>Domain</w:t>
      </w:r>
      <w:r w:rsidRPr="00F900C0">
        <w:rPr>
          <w:rFonts w:hint="eastAsia"/>
          <w:sz w:val="28"/>
          <w:szCs w:val="28"/>
        </w:rPr>
        <w:t>よりの提案）</w:t>
      </w:r>
    </w:p>
    <w:p w14:paraId="05F28CBD" w14:textId="59745CF1" w:rsidR="00F900C0" w:rsidRDefault="00785CBF" w:rsidP="00F900C0">
      <w:pPr>
        <w:jc w:val="left"/>
        <w:rPr>
          <w:sz w:val="28"/>
          <w:szCs w:val="28"/>
        </w:rPr>
      </w:pPr>
      <w:r w:rsidRPr="00785CBF">
        <w:rPr>
          <w:noProof/>
        </w:rPr>
        <w:drawing>
          <wp:inline distT="0" distB="0" distL="0" distR="0" wp14:anchorId="3DA5F4B4" wp14:editId="3CB6B152">
            <wp:extent cx="5400040" cy="223266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2232660"/>
                    </a:xfrm>
                    <a:prstGeom prst="rect">
                      <a:avLst/>
                    </a:prstGeom>
                    <a:noFill/>
                    <a:ln>
                      <a:noFill/>
                    </a:ln>
                  </pic:spPr>
                </pic:pic>
              </a:graphicData>
            </a:graphic>
          </wp:inline>
        </w:drawing>
      </w:r>
    </w:p>
    <w:p w14:paraId="4B21C576" w14:textId="4D0F5037" w:rsidR="00F900C0" w:rsidRDefault="00F900C0">
      <w:pPr>
        <w:widowControl/>
        <w:jc w:val="left"/>
        <w:rPr>
          <w:b/>
          <w:bCs/>
          <w:sz w:val="22"/>
        </w:rPr>
      </w:pPr>
    </w:p>
    <w:p w14:paraId="5F853B99" w14:textId="00CEBBBE" w:rsidR="00F900C0" w:rsidRDefault="00F900C0">
      <w:pPr>
        <w:widowControl/>
        <w:jc w:val="left"/>
        <w:rPr>
          <w:b/>
          <w:bCs/>
          <w:sz w:val="22"/>
        </w:rPr>
      </w:pPr>
      <w:r>
        <w:rPr>
          <w:rFonts w:hint="eastAsia"/>
          <w:b/>
          <w:bCs/>
          <w:sz w:val="22"/>
        </w:rPr>
        <w:t>V</w:t>
      </w:r>
      <w:r>
        <w:rPr>
          <w:b/>
          <w:bCs/>
          <w:sz w:val="22"/>
        </w:rPr>
        <w:t>ice Chair</w:t>
      </w:r>
      <w:r w:rsidR="00B870A5">
        <w:rPr>
          <w:b/>
          <w:bCs/>
          <w:sz w:val="22"/>
        </w:rPr>
        <w:t xml:space="preserve"> (Methodology and Technology)</w:t>
      </w:r>
      <w:r>
        <w:rPr>
          <w:b/>
          <w:bCs/>
          <w:sz w:val="22"/>
        </w:rPr>
        <w:t xml:space="preserve">: </w:t>
      </w:r>
      <w:r w:rsidR="00B870A5">
        <w:rPr>
          <w:b/>
          <w:bCs/>
          <w:sz w:val="22"/>
        </w:rPr>
        <w:t>Marek Laskowski (Canada)</w:t>
      </w:r>
    </w:p>
    <w:p w14:paraId="5F41750C" w14:textId="3C9F93E8" w:rsidR="00B870A5" w:rsidRDefault="00B870A5" w:rsidP="00B870A5">
      <w:pPr>
        <w:widowControl/>
        <w:ind w:firstLine="840"/>
        <w:jc w:val="left"/>
        <w:rPr>
          <w:b/>
          <w:bCs/>
          <w:sz w:val="22"/>
        </w:rPr>
      </w:pPr>
      <w:r>
        <w:rPr>
          <w:rFonts w:hint="eastAsia"/>
          <w:b/>
          <w:bCs/>
          <w:sz w:val="22"/>
        </w:rPr>
        <w:t>D</w:t>
      </w:r>
      <w:r>
        <w:rPr>
          <w:b/>
          <w:bCs/>
          <w:sz w:val="22"/>
        </w:rPr>
        <w:t xml:space="preserve">omain Coordinator (SPEC): </w:t>
      </w:r>
      <w:proofErr w:type="spellStart"/>
      <w:r>
        <w:rPr>
          <w:rFonts w:hint="eastAsia"/>
          <w:b/>
          <w:bCs/>
          <w:sz w:val="22"/>
        </w:rPr>
        <w:t>H</w:t>
      </w:r>
      <w:r>
        <w:rPr>
          <w:b/>
          <w:bCs/>
          <w:sz w:val="22"/>
        </w:rPr>
        <w:t>isanao</w:t>
      </w:r>
      <w:proofErr w:type="spellEnd"/>
      <w:r>
        <w:rPr>
          <w:b/>
          <w:bCs/>
          <w:sz w:val="22"/>
        </w:rPr>
        <w:t xml:space="preserve"> </w:t>
      </w:r>
      <w:proofErr w:type="spellStart"/>
      <w:r>
        <w:rPr>
          <w:b/>
          <w:bCs/>
          <w:sz w:val="22"/>
        </w:rPr>
        <w:t>Sugamata</w:t>
      </w:r>
      <w:proofErr w:type="spellEnd"/>
      <w:r w:rsidR="001D7782">
        <w:rPr>
          <w:b/>
          <w:bCs/>
          <w:sz w:val="22"/>
        </w:rPr>
        <w:t xml:space="preserve"> (Japan)</w:t>
      </w:r>
    </w:p>
    <w:p w14:paraId="04BE07A8" w14:textId="2F8244D4" w:rsidR="00B870A5" w:rsidRDefault="00B870A5">
      <w:pPr>
        <w:widowControl/>
        <w:jc w:val="left"/>
        <w:rPr>
          <w:b/>
          <w:bCs/>
          <w:sz w:val="22"/>
        </w:rPr>
      </w:pPr>
      <w:r>
        <w:rPr>
          <w:rFonts w:hint="eastAsia"/>
          <w:b/>
          <w:bCs/>
          <w:sz w:val="22"/>
        </w:rPr>
        <w:t>V</w:t>
      </w:r>
      <w:r>
        <w:rPr>
          <w:b/>
          <w:bCs/>
          <w:sz w:val="22"/>
        </w:rPr>
        <w:t>ice Chair (International Supply Chain): Ian Watt</w:t>
      </w:r>
      <w:r w:rsidR="001D7782">
        <w:rPr>
          <w:b/>
          <w:bCs/>
          <w:sz w:val="22"/>
        </w:rPr>
        <w:t xml:space="preserve"> (Australia)</w:t>
      </w:r>
    </w:p>
    <w:p w14:paraId="185EEDDD" w14:textId="26CFA57D" w:rsidR="00F900C0" w:rsidRDefault="00F900C0" w:rsidP="00B870A5">
      <w:pPr>
        <w:widowControl/>
        <w:ind w:firstLine="840"/>
        <w:jc w:val="left"/>
        <w:rPr>
          <w:b/>
          <w:bCs/>
          <w:sz w:val="22"/>
        </w:rPr>
      </w:pPr>
      <w:r>
        <w:rPr>
          <w:rFonts w:hint="eastAsia"/>
          <w:b/>
          <w:bCs/>
          <w:sz w:val="22"/>
        </w:rPr>
        <w:t>D</w:t>
      </w:r>
      <w:r>
        <w:rPr>
          <w:b/>
          <w:bCs/>
          <w:sz w:val="22"/>
        </w:rPr>
        <w:t>omain Coordinator</w:t>
      </w:r>
      <w:r w:rsidR="00B870A5">
        <w:rPr>
          <w:b/>
          <w:bCs/>
          <w:sz w:val="22"/>
        </w:rPr>
        <w:t xml:space="preserve"> (SCMP)</w:t>
      </w:r>
      <w:r>
        <w:rPr>
          <w:b/>
          <w:bCs/>
          <w:sz w:val="22"/>
        </w:rPr>
        <w:t xml:space="preserve">: </w:t>
      </w:r>
      <w:r w:rsidR="001D7782">
        <w:rPr>
          <w:rFonts w:hint="eastAsia"/>
          <w:b/>
          <w:bCs/>
          <w:sz w:val="22"/>
        </w:rPr>
        <w:t>E</w:t>
      </w:r>
      <w:r w:rsidR="001D7782">
        <w:rPr>
          <w:b/>
          <w:bCs/>
          <w:sz w:val="22"/>
        </w:rPr>
        <w:t>dmund Gray (Ireland)</w:t>
      </w:r>
    </w:p>
    <w:p w14:paraId="33AD3B1E" w14:textId="50FA0498" w:rsidR="001D7782" w:rsidRDefault="001D7782">
      <w:pPr>
        <w:widowControl/>
        <w:jc w:val="left"/>
        <w:rPr>
          <w:b/>
          <w:bCs/>
          <w:sz w:val="22"/>
        </w:rPr>
      </w:pPr>
      <w:r>
        <w:rPr>
          <w:b/>
          <w:bCs/>
          <w:sz w:val="22"/>
        </w:rPr>
        <w:br w:type="page"/>
      </w:r>
    </w:p>
    <w:p w14:paraId="228F28D7" w14:textId="77777777" w:rsidR="00F900C0" w:rsidRDefault="00F900C0" w:rsidP="00F900C0">
      <w:pPr>
        <w:jc w:val="left"/>
        <w:rPr>
          <w:b/>
          <w:bCs/>
          <w:sz w:val="22"/>
        </w:rPr>
      </w:pPr>
    </w:p>
    <w:p w14:paraId="4C918043" w14:textId="207F808F" w:rsidR="00F900C0" w:rsidRPr="00F900C0" w:rsidRDefault="00F900C0" w:rsidP="00F900C0">
      <w:pPr>
        <w:jc w:val="left"/>
        <w:rPr>
          <w:b/>
          <w:bCs/>
          <w:sz w:val="22"/>
        </w:rPr>
      </w:pPr>
      <w:r w:rsidRPr="00F900C0">
        <w:rPr>
          <w:rFonts w:hint="eastAsia"/>
          <w:b/>
          <w:bCs/>
          <w:sz w:val="22"/>
        </w:rPr>
        <w:t>国連</w:t>
      </w:r>
      <w:r w:rsidRPr="00F900C0">
        <w:rPr>
          <w:b/>
          <w:bCs/>
          <w:sz w:val="22"/>
        </w:rPr>
        <w:t>CEFACT</w:t>
      </w:r>
      <w:r w:rsidRPr="00F900C0">
        <w:rPr>
          <w:rFonts w:hint="eastAsia"/>
          <w:b/>
          <w:bCs/>
          <w:sz w:val="22"/>
        </w:rPr>
        <w:t>方針（2016年策定）</w:t>
      </w:r>
    </w:p>
    <w:p w14:paraId="14D2A6AF" w14:textId="77777777" w:rsidR="00F900C0" w:rsidRDefault="00F900C0" w:rsidP="00F900C0">
      <w:pPr>
        <w:pStyle w:val="a4"/>
        <w:numPr>
          <w:ilvl w:val="0"/>
          <w:numId w:val="2"/>
        </w:numPr>
      </w:pPr>
      <w:r w:rsidRPr="00BB171B">
        <w:t>Progressing trade facilitation and supporting i</w:t>
      </w:r>
      <w:r>
        <w:t>ts implementation</w:t>
      </w:r>
    </w:p>
    <w:p w14:paraId="705138B9" w14:textId="77777777" w:rsidR="00F900C0" w:rsidRDefault="00F900C0" w:rsidP="00F900C0">
      <w:pPr>
        <w:pStyle w:val="a4"/>
        <w:numPr>
          <w:ilvl w:val="0"/>
          <w:numId w:val="2"/>
        </w:numPr>
      </w:pPr>
      <w:r>
        <w:t>Providing semantic interoperability</w:t>
      </w:r>
    </w:p>
    <w:p w14:paraId="76FA1767" w14:textId="77777777" w:rsidR="00F900C0" w:rsidRDefault="00F900C0" w:rsidP="00F900C0">
      <w:pPr>
        <w:pStyle w:val="a4"/>
        <w:numPr>
          <w:ilvl w:val="0"/>
          <w:numId w:val="2"/>
        </w:numPr>
      </w:pPr>
      <w:r>
        <w:t>Developing further guidance and standards</w:t>
      </w:r>
    </w:p>
    <w:p w14:paraId="7360B08B" w14:textId="77777777" w:rsidR="00F900C0" w:rsidRDefault="00F900C0" w:rsidP="00F900C0">
      <w:pPr>
        <w:pStyle w:val="a4"/>
        <w:numPr>
          <w:ilvl w:val="0"/>
          <w:numId w:val="2"/>
        </w:numPr>
      </w:pPr>
      <w:r>
        <w:t>Updating existing deliverables</w:t>
      </w:r>
    </w:p>
    <w:p w14:paraId="5F61B483" w14:textId="77777777" w:rsidR="00F900C0" w:rsidRDefault="00F900C0" w:rsidP="00F900C0">
      <w:pPr>
        <w:pStyle w:val="a4"/>
        <w:numPr>
          <w:ilvl w:val="0"/>
          <w:numId w:val="2"/>
        </w:numPr>
      </w:pPr>
      <w:r>
        <w:t>Proposing comprehensive deliverables based on the BSP model</w:t>
      </w:r>
    </w:p>
    <w:p w14:paraId="4256F4B5" w14:textId="77777777" w:rsidR="00F900C0" w:rsidRDefault="00F900C0" w:rsidP="00F900C0">
      <w:pPr>
        <w:pStyle w:val="a4"/>
        <w:numPr>
          <w:ilvl w:val="0"/>
          <w:numId w:val="2"/>
        </w:numPr>
      </w:pPr>
      <w:r>
        <w:t>Improving communication and enlarging participation</w:t>
      </w:r>
    </w:p>
    <w:p w14:paraId="1CF6ABE8" w14:textId="77777777" w:rsidR="00F900C0" w:rsidRDefault="00F900C0" w:rsidP="00F900C0">
      <w:pPr>
        <w:pStyle w:val="a4"/>
        <w:numPr>
          <w:ilvl w:val="0"/>
          <w:numId w:val="2"/>
        </w:numPr>
      </w:pPr>
      <w:r>
        <w:t>Enhancing cooperation with other UN bodies</w:t>
      </w:r>
    </w:p>
    <w:p w14:paraId="3E2DA931" w14:textId="77777777" w:rsidR="00F900C0" w:rsidRDefault="00F900C0" w:rsidP="00F900C0">
      <w:pPr>
        <w:pStyle w:val="a4"/>
        <w:numPr>
          <w:ilvl w:val="0"/>
          <w:numId w:val="2"/>
        </w:numPr>
      </w:pPr>
      <w:r>
        <w:t>Enhancing cooperation through bilateral agreements</w:t>
      </w:r>
    </w:p>
    <w:p w14:paraId="78C08255" w14:textId="77777777" w:rsidR="00F900C0" w:rsidRDefault="00F900C0" w:rsidP="00F900C0">
      <w:pPr>
        <w:pStyle w:val="a4"/>
        <w:numPr>
          <w:ilvl w:val="0"/>
          <w:numId w:val="2"/>
        </w:numPr>
      </w:pPr>
      <w:r>
        <w:t>Seeking new cooperation with other standards bodies</w:t>
      </w:r>
    </w:p>
    <w:p w14:paraId="0C54E64D" w14:textId="77777777" w:rsidR="00F900C0" w:rsidRDefault="00F900C0" w:rsidP="00F900C0">
      <w:pPr>
        <w:pStyle w:val="a4"/>
        <w:numPr>
          <w:ilvl w:val="0"/>
          <w:numId w:val="2"/>
        </w:numPr>
      </w:pPr>
      <w:r>
        <w:t>Other (please specify in the Notes)</w:t>
      </w:r>
    </w:p>
    <w:p w14:paraId="43E3E009" w14:textId="4754EFC7" w:rsidR="00F900C0" w:rsidRPr="00F900C0" w:rsidRDefault="00F900C0" w:rsidP="00F900C0">
      <w:pPr>
        <w:pStyle w:val="a4"/>
        <w:rPr>
          <w:b/>
          <w:bCs/>
          <w:sz w:val="22"/>
        </w:rPr>
      </w:pPr>
      <w:r w:rsidRPr="00F900C0">
        <w:rPr>
          <w:rFonts w:hint="eastAsia"/>
          <w:b/>
          <w:bCs/>
          <w:sz w:val="22"/>
        </w:rPr>
        <w:t>国連S</w:t>
      </w:r>
      <w:r w:rsidRPr="00F900C0">
        <w:rPr>
          <w:b/>
          <w:bCs/>
          <w:sz w:val="22"/>
        </w:rPr>
        <w:t>DG</w:t>
      </w:r>
      <w:r w:rsidRPr="00F900C0">
        <w:rPr>
          <w:rFonts w:hint="eastAsia"/>
          <w:b/>
          <w:bCs/>
          <w:sz w:val="22"/>
        </w:rPr>
        <w:t>目標</w:t>
      </w:r>
    </w:p>
    <w:p w14:paraId="04A666EB" w14:textId="77777777" w:rsidR="00F900C0" w:rsidRDefault="00F900C0" w:rsidP="001D7782">
      <w:pPr>
        <w:pStyle w:val="a4"/>
        <w:numPr>
          <w:ilvl w:val="0"/>
          <w:numId w:val="5"/>
        </w:numPr>
      </w:pPr>
      <w:r>
        <w:t>8.3 (</w:t>
      </w:r>
      <w:r w:rsidRPr="00BB171B">
        <w:t xml:space="preserve">Achieve higher levels of economic productivity through diversification, technological </w:t>
      </w:r>
      <w:proofErr w:type="gramStart"/>
      <w:r w:rsidRPr="00BB171B">
        <w:t>upgrading</w:t>
      </w:r>
      <w:proofErr w:type="gramEnd"/>
      <w:r w:rsidRPr="00BB171B">
        <w:t xml:space="preserve"> and innovation, including through a focus on high-value added and </w:t>
      </w:r>
      <w:proofErr w:type="spellStart"/>
      <w:r w:rsidRPr="00BB171B">
        <w:t>labour-intensive</w:t>
      </w:r>
      <w:proofErr w:type="spellEnd"/>
      <w:r w:rsidRPr="00BB171B">
        <w:t xml:space="preserve"> sectors</w:t>
      </w:r>
      <w:r>
        <w:t>)</w:t>
      </w:r>
    </w:p>
    <w:p w14:paraId="7EC6E690" w14:textId="77777777" w:rsidR="00F900C0" w:rsidRDefault="00F900C0" w:rsidP="001D7782">
      <w:pPr>
        <w:pStyle w:val="a4"/>
        <w:numPr>
          <w:ilvl w:val="0"/>
          <w:numId w:val="5"/>
        </w:numPr>
      </w:pPr>
      <w:r>
        <w:t>8.9 (</w:t>
      </w:r>
      <w:r w:rsidRPr="00BB171B">
        <w:t>By 2030, devise and implement policies to promote sustainable tourism that creates jobs and promotes local culture and products</w:t>
      </w:r>
      <w:r>
        <w:t>)</w:t>
      </w:r>
    </w:p>
    <w:p w14:paraId="2F880E10" w14:textId="77777777" w:rsidR="00F900C0" w:rsidRDefault="00F900C0" w:rsidP="001D7782">
      <w:pPr>
        <w:pStyle w:val="a4"/>
        <w:numPr>
          <w:ilvl w:val="0"/>
          <w:numId w:val="5"/>
        </w:numPr>
      </w:pPr>
      <w:r>
        <w:t>9.1 (</w:t>
      </w:r>
      <w:r w:rsidRPr="00BB171B">
        <w:t xml:space="preserve">Develop quality, reliable, </w:t>
      </w:r>
      <w:proofErr w:type="gramStart"/>
      <w:r w:rsidRPr="00BB171B">
        <w:t>sustainable</w:t>
      </w:r>
      <w:proofErr w:type="gramEnd"/>
      <w:r w:rsidRPr="00BB171B">
        <w:t xml:space="preserve"> and resilient infrastructure, including regional and transborder infrastructure, to support economic development and human well-being, with a focus on affordable and equitable access for all</w:t>
      </w:r>
      <w:r>
        <w:t>)</w:t>
      </w:r>
    </w:p>
    <w:p w14:paraId="11903715" w14:textId="77777777" w:rsidR="00F900C0" w:rsidRDefault="00F900C0" w:rsidP="001D7782">
      <w:pPr>
        <w:pStyle w:val="a4"/>
        <w:numPr>
          <w:ilvl w:val="0"/>
          <w:numId w:val="5"/>
        </w:numPr>
      </w:pPr>
      <w:r w:rsidRPr="00BB171B">
        <w:t xml:space="preserve">12.6 </w:t>
      </w:r>
      <w:r>
        <w:t>(</w:t>
      </w:r>
      <w:r w:rsidRPr="00BB171B">
        <w:t>Encourage companies, especially large and transnational companies, to adopt sustainable practices and to integrate sustainability information into their reporting cycle</w:t>
      </w:r>
      <w:r>
        <w:t>)</w:t>
      </w:r>
    </w:p>
    <w:p w14:paraId="649DEE1A" w14:textId="77777777" w:rsidR="00F900C0" w:rsidRPr="00BB171B" w:rsidRDefault="00F900C0" w:rsidP="001D7782">
      <w:pPr>
        <w:pStyle w:val="a4"/>
        <w:numPr>
          <w:ilvl w:val="0"/>
          <w:numId w:val="5"/>
        </w:numPr>
      </w:pPr>
      <w:r>
        <w:t xml:space="preserve">17.10 (Promote a universal, rules-based, open, </w:t>
      </w:r>
      <w:proofErr w:type="gramStart"/>
      <w:r>
        <w:t>non-discriminatory</w:t>
      </w:r>
      <w:proofErr w:type="gramEnd"/>
      <w:r>
        <w:t xml:space="preserve"> and equitable multilateral trading system under the World Trade Organization, including through the conclusion of negotiations under its Doha Development Agenda – WTO TFA)</w:t>
      </w:r>
    </w:p>
    <w:p w14:paraId="4B873EBB" w14:textId="6346F2AC" w:rsidR="00AD35AC" w:rsidRDefault="00AD35AC">
      <w:pPr>
        <w:widowControl/>
        <w:jc w:val="left"/>
        <w:rPr>
          <w:sz w:val="22"/>
        </w:rPr>
      </w:pPr>
      <w:r>
        <w:rPr>
          <w:sz w:val="22"/>
        </w:rPr>
        <w:br w:type="page"/>
      </w:r>
    </w:p>
    <w:tbl>
      <w:tblPr>
        <w:tblStyle w:val="a5"/>
        <w:tblW w:w="850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413"/>
        <w:gridCol w:w="709"/>
        <w:gridCol w:w="283"/>
        <w:gridCol w:w="567"/>
        <w:gridCol w:w="992"/>
        <w:gridCol w:w="284"/>
        <w:gridCol w:w="519"/>
        <w:gridCol w:w="615"/>
        <w:gridCol w:w="850"/>
        <w:gridCol w:w="426"/>
        <w:gridCol w:w="1842"/>
      </w:tblGrid>
      <w:tr w:rsidR="00AD35AC" w:rsidRPr="00AD35AC" w14:paraId="2E571A7B" w14:textId="77777777" w:rsidTr="00AD35AC">
        <w:tc>
          <w:tcPr>
            <w:tcW w:w="8500" w:type="dxa"/>
            <w:gridSpan w:val="11"/>
            <w:shd w:val="clear" w:color="auto" w:fill="F2F2F2" w:themeFill="background1" w:themeFillShade="F2"/>
            <w:vAlign w:val="center"/>
          </w:tcPr>
          <w:p w14:paraId="4CE95462" w14:textId="77777777" w:rsidR="00AD35AC" w:rsidRPr="00AD35AC" w:rsidRDefault="00AD35AC" w:rsidP="00EB14AD">
            <w:pPr>
              <w:jc w:val="center"/>
              <w:rPr>
                <w:rFonts w:ascii="Century" w:hAnsi="Century"/>
                <w:b/>
              </w:rPr>
            </w:pPr>
            <w:r w:rsidRPr="00AD35AC">
              <w:rPr>
                <w:rFonts w:ascii="Century" w:hAnsi="Century"/>
                <w:b/>
              </w:rPr>
              <w:lastRenderedPageBreak/>
              <w:t>UN/CEFACT Project Proposal</w:t>
            </w:r>
          </w:p>
        </w:tc>
      </w:tr>
      <w:tr w:rsidR="00AD35AC" w:rsidRPr="00AD35AC" w14:paraId="5E624A16" w14:textId="77777777" w:rsidTr="00AD35AC">
        <w:tc>
          <w:tcPr>
            <w:tcW w:w="2122" w:type="dxa"/>
            <w:gridSpan w:val="2"/>
            <w:shd w:val="clear" w:color="auto" w:fill="F2F2F2" w:themeFill="background1" w:themeFillShade="F2"/>
          </w:tcPr>
          <w:p w14:paraId="5E9FA338" w14:textId="77777777" w:rsidR="00AD35AC" w:rsidRPr="00AD35AC" w:rsidRDefault="00AD35AC" w:rsidP="00EB14AD">
            <w:pPr>
              <w:rPr>
                <w:rFonts w:ascii="Century" w:hAnsi="Century"/>
              </w:rPr>
            </w:pPr>
            <w:r w:rsidRPr="00AD35AC">
              <w:rPr>
                <w:rFonts w:ascii="Century" w:hAnsi="Century"/>
              </w:rPr>
              <w:t>Project Name:</w:t>
            </w:r>
          </w:p>
        </w:tc>
        <w:tc>
          <w:tcPr>
            <w:tcW w:w="6378" w:type="dxa"/>
            <w:gridSpan w:val="9"/>
            <w:vAlign w:val="center"/>
          </w:tcPr>
          <w:p w14:paraId="2D458093" w14:textId="77777777" w:rsidR="00AD35AC" w:rsidRPr="00AD35AC" w:rsidRDefault="00AD35AC" w:rsidP="00EB14AD">
            <w:pPr>
              <w:rPr>
                <w:rFonts w:ascii="Century" w:hAnsi="Century"/>
              </w:rPr>
            </w:pPr>
            <w:r w:rsidRPr="00AD35AC">
              <w:rPr>
                <w:rFonts w:ascii="Century" w:hAnsi="Century"/>
              </w:rPr>
              <w:t>API Town Plan</w:t>
            </w:r>
          </w:p>
        </w:tc>
      </w:tr>
      <w:tr w:rsidR="00AD35AC" w:rsidRPr="00AD35AC" w14:paraId="708EC14F" w14:textId="77777777" w:rsidTr="00AD35AC">
        <w:tc>
          <w:tcPr>
            <w:tcW w:w="2122" w:type="dxa"/>
            <w:gridSpan w:val="2"/>
            <w:shd w:val="clear" w:color="auto" w:fill="F2F2F2" w:themeFill="background1" w:themeFillShade="F2"/>
          </w:tcPr>
          <w:p w14:paraId="7BC12127" w14:textId="77777777" w:rsidR="00AD35AC" w:rsidRPr="00AD35AC" w:rsidRDefault="00AD35AC" w:rsidP="00EB14AD">
            <w:pPr>
              <w:rPr>
                <w:rFonts w:ascii="Century" w:hAnsi="Century"/>
              </w:rPr>
            </w:pPr>
            <w:r w:rsidRPr="00AD35AC">
              <w:rPr>
                <w:rFonts w:ascii="Century" w:hAnsi="Century"/>
              </w:rPr>
              <w:t>Date submitted:</w:t>
            </w:r>
          </w:p>
        </w:tc>
        <w:tc>
          <w:tcPr>
            <w:tcW w:w="1842" w:type="dxa"/>
            <w:gridSpan w:val="3"/>
          </w:tcPr>
          <w:p w14:paraId="3B21DC57" w14:textId="77777777" w:rsidR="00AD35AC" w:rsidRPr="00AD35AC" w:rsidRDefault="00AD35AC" w:rsidP="00EB14AD">
            <w:pPr>
              <w:rPr>
                <w:rFonts w:ascii="Century" w:hAnsi="Century"/>
              </w:rPr>
            </w:pPr>
            <w:r w:rsidRPr="00AD35AC">
              <w:rPr>
                <w:rFonts w:ascii="Century" w:hAnsi="Century"/>
              </w:rPr>
              <w:t>06-May-2019</w:t>
            </w:r>
          </w:p>
        </w:tc>
        <w:tc>
          <w:tcPr>
            <w:tcW w:w="2268" w:type="dxa"/>
            <w:gridSpan w:val="4"/>
            <w:shd w:val="clear" w:color="auto" w:fill="F2F2F2" w:themeFill="background1" w:themeFillShade="F2"/>
          </w:tcPr>
          <w:p w14:paraId="1D0EC329" w14:textId="77777777" w:rsidR="00AD35AC" w:rsidRPr="00AD35AC" w:rsidRDefault="00AD35AC" w:rsidP="00EB14AD">
            <w:pPr>
              <w:rPr>
                <w:rFonts w:ascii="Century" w:hAnsi="Century"/>
              </w:rPr>
            </w:pPr>
            <w:r w:rsidRPr="00AD35AC">
              <w:rPr>
                <w:rFonts w:ascii="Century" w:hAnsi="Century"/>
              </w:rPr>
              <w:t>Proposed by:</w:t>
            </w:r>
          </w:p>
        </w:tc>
        <w:tc>
          <w:tcPr>
            <w:tcW w:w="2268" w:type="dxa"/>
            <w:gridSpan w:val="2"/>
          </w:tcPr>
          <w:p w14:paraId="5A61AF4B" w14:textId="77777777" w:rsidR="00AD35AC" w:rsidRPr="00AD35AC" w:rsidRDefault="00AD35AC" w:rsidP="00EB14AD">
            <w:pPr>
              <w:rPr>
                <w:rFonts w:ascii="Century" w:hAnsi="Century"/>
              </w:rPr>
            </w:pPr>
            <w:r w:rsidRPr="00AD35AC">
              <w:rPr>
                <w:rFonts w:ascii="Century" w:hAnsi="Century"/>
              </w:rPr>
              <w:t xml:space="preserve">Steven </w:t>
            </w:r>
            <w:proofErr w:type="spellStart"/>
            <w:r w:rsidRPr="00AD35AC">
              <w:rPr>
                <w:rFonts w:ascii="Century" w:hAnsi="Century"/>
              </w:rPr>
              <w:t>Capell</w:t>
            </w:r>
            <w:proofErr w:type="spellEnd"/>
          </w:p>
        </w:tc>
      </w:tr>
      <w:tr w:rsidR="00AD35AC" w:rsidRPr="00AD35AC" w14:paraId="67189040" w14:textId="77777777" w:rsidTr="00AD35AC">
        <w:tc>
          <w:tcPr>
            <w:tcW w:w="8500" w:type="dxa"/>
            <w:gridSpan w:val="11"/>
          </w:tcPr>
          <w:p w14:paraId="2F9AF793" w14:textId="77777777" w:rsidR="00AD35AC" w:rsidRPr="00AD35AC" w:rsidRDefault="00AD35AC" w:rsidP="00EB14AD"/>
        </w:tc>
      </w:tr>
      <w:tr w:rsidR="00AD35AC" w:rsidRPr="00AD35AC" w14:paraId="3320985F" w14:textId="77777777" w:rsidTr="00AD35AC">
        <w:tc>
          <w:tcPr>
            <w:tcW w:w="8500" w:type="dxa"/>
            <w:gridSpan w:val="11"/>
            <w:shd w:val="clear" w:color="auto" w:fill="D9D9D9" w:themeFill="background1" w:themeFillShade="D9"/>
          </w:tcPr>
          <w:p w14:paraId="4FC0D10C" w14:textId="7E394A5B" w:rsidR="00AD35AC" w:rsidRPr="00AD35AC" w:rsidRDefault="00AD35AC" w:rsidP="00EB14AD">
            <w:pPr>
              <w:rPr>
                <w:rFonts w:ascii="Century" w:hAnsi="Century"/>
                <w:b/>
              </w:rPr>
            </w:pPr>
            <w:r w:rsidRPr="00AD35AC">
              <w:rPr>
                <w:b/>
              </w:rPr>
              <w:t>1</w:t>
            </w:r>
            <w:r w:rsidRPr="00AD35AC">
              <w:rPr>
                <w:rFonts w:ascii="Century" w:hAnsi="Century"/>
                <w:b/>
              </w:rPr>
              <w:t>. Work package purpose</w:t>
            </w:r>
          </w:p>
        </w:tc>
      </w:tr>
      <w:tr w:rsidR="00AD35AC" w:rsidRPr="00AD35AC" w14:paraId="6BB1A2E2" w14:textId="77777777" w:rsidTr="00AD35AC">
        <w:trPr>
          <w:trHeight w:val="1440"/>
        </w:trPr>
        <w:tc>
          <w:tcPr>
            <w:tcW w:w="8500" w:type="dxa"/>
            <w:gridSpan w:val="11"/>
          </w:tcPr>
          <w:p w14:paraId="04823448" w14:textId="77777777" w:rsidR="00AD35AC" w:rsidRPr="00AD35AC" w:rsidRDefault="00AD35AC" w:rsidP="00AD35AC">
            <w:pPr>
              <w:pStyle w:val="a4"/>
              <w:rPr>
                <w:rFonts w:ascii="Century" w:hAnsi="Century"/>
              </w:rPr>
            </w:pPr>
            <w:r w:rsidRPr="00AD35AC">
              <w:rPr>
                <w:rFonts w:ascii="Century" w:hAnsi="Century"/>
              </w:rPr>
              <w:t>As more and more UN/CEFACT business domains publish API standards, there is a risk of confusion and overlaps/gaps unless there is a well-managed architecture where every domain knows where they fit and all users can easily navigate the plan to find the APIs they need.  This project will establish a high level “API town plan” and associated governance and publishing framework for all UN/CEFACT APIs. This project will be complete and proven successful when:</w:t>
            </w:r>
          </w:p>
          <w:p w14:paraId="121C5160" w14:textId="77777777" w:rsidR="00AD35AC" w:rsidRPr="00AD35AC" w:rsidRDefault="00AD35AC" w:rsidP="00AD35AC">
            <w:pPr>
              <w:pStyle w:val="a3"/>
              <w:numPr>
                <w:ilvl w:val="0"/>
                <w:numId w:val="7"/>
              </w:numPr>
              <w:rPr>
                <w:rFonts w:ascii="Century" w:hAnsi="Century"/>
              </w:rPr>
            </w:pPr>
            <w:r w:rsidRPr="00AD35AC">
              <w:rPr>
                <w:rFonts w:ascii="Century" w:hAnsi="Century"/>
                <w:b/>
              </w:rPr>
              <w:t>A first draft API town plan is published:</w:t>
            </w:r>
            <w:r w:rsidRPr="00AD35AC">
              <w:rPr>
                <w:rFonts w:ascii="Century" w:hAnsi="Century"/>
              </w:rPr>
              <w:t xml:space="preserve"> As a clickable map covering Trade, Transport, Regulatory, and Financial domains as well as agriculture, </w:t>
            </w:r>
            <w:proofErr w:type="gramStart"/>
            <w:r w:rsidRPr="00AD35AC">
              <w:rPr>
                <w:rFonts w:ascii="Century" w:hAnsi="Century"/>
              </w:rPr>
              <w:t>tourism</w:t>
            </w:r>
            <w:proofErr w:type="gramEnd"/>
            <w:r w:rsidRPr="00AD35AC">
              <w:rPr>
                <w:rFonts w:ascii="Century" w:hAnsi="Century"/>
              </w:rPr>
              <w:t xml:space="preserve"> and other domains.</w:t>
            </w:r>
          </w:p>
          <w:p w14:paraId="636A9196" w14:textId="77777777" w:rsidR="00AD35AC" w:rsidRPr="00AD35AC" w:rsidRDefault="00AD35AC" w:rsidP="00AD35AC">
            <w:pPr>
              <w:pStyle w:val="a3"/>
              <w:numPr>
                <w:ilvl w:val="0"/>
                <w:numId w:val="7"/>
              </w:numPr>
              <w:rPr>
                <w:rFonts w:ascii="Century" w:hAnsi="Century"/>
              </w:rPr>
            </w:pPr>
            <w:r w:rsidRPr="00AD35AC">
              <w:rPr>
                <w:rFonts w:ascii="Century" w:hAnsi="Century"/>
                <w:b/>
              </w:rPr>
              <w:t>A town plan governance framework is established:</w:t>
            </w:r>
            <w:r w:rsidRPr="00AD35AC">
              <w:rPr>
                <w:rFonts w:ascii="Century" w:hAnsi="Century"/>
              </w:rPr>
              <w:t xml:space="preserve"> That defines how the town plan is managed and how new APIs are added. </w:t>
            </w:r>
          </w:p>
          <w:p w14:paraId="21D7B7C4" w14:textId="119FBCDC" w:rsidR="00AD35AC" w:rsidRPr="00AD35AC" w:rsidRDefault="00AD35AC" w:rsidP="00EB14AD">
            <w:pPr>
              <w:pStyle w:val="a3"/>
              <w:numPr>
                <w:ilvl w:val="0"/>
                <w:numId w:val="7"/>
              </w:numPr>
              <w:rPr>
                <w:rFonts w:ascii="Century" w:hAnsi="Century"/>
              </w:rPr>
            </w:pPr>
            <w:r w:rsidRPr="00AD35AC">
              <w:rPr>
                <w:rFonts w:ascii="Century" w:hAnsi="Century"/>
                <w:b/>
              </w:rPr>
              <w:t xml:space="preserve">Conformant API Implementations are published: </w:t>
            </w:r>
            <w:r w:rsidRPr="00AD35AC">
              <w:rPr>
                <w:rFonts w:ascii="Century" w:hAnsi="Century"/>
              </w:rPr>
              <w:t xml:space="preserve"> At least two domains have each followed the RDM2API methodology and have published at least one API that aligns with the town plan.</w:t>
            </w:r>
          </w:p>
        </w:tc>
      </w:tr>
      <w:tr w:rsidR="00AD35AC" w:rsidRPr="00AD35AC" w14:paraId="3B1E7941" w14:textId="77777777" w:rsidTr="00AD35AC">
        <w:tc>
          <w:tcPr>
            <w:tcW w:w="8500" w:type="dxa"/>
            <w:gridSpan w:val="11"/>
            <w:shd w:val="clear" w:color="auto" w:fill="D9D9D9" w:themeFill="background1" w:themeFillShade="D9"/>
          </w:tcPr>
          <w:p w14:paraId="7C7F4F9F" w14:textId="656569C8" w:rsidR="00AD35AC" w:rsidRPr="00AD35AC" w:rsidRDefault="00AD35AC" w:rsidP="00EB14AD">
            <w:pPr>
              <w:rPr>
                <w:b/>
              </w:rPr>
            </w:pPr>
            <w:r w:rsidRPr="00AD35AC">
              <w:rPr>
                <w:b/>
              </w:rPr>
              <w:t>2. Work package scope</w:t>
            </w:r>
          </w:p>
        </w:tc>
      </w:tr>
      <w:tr w:rsidR="00AD35AC" w:rsidRPr="00AD35AC" w14:paraId="3228A493" w14:textId="77777777" w:rsidTr="00AD35AC">
        <w:trPr>
          <w:trHeight w:val="1440"/>
        </w:trPr>
        <w:tc>
          <w:tcPr>
            <w:tcW w:w="8500" w:type="dxa"/>
            <w:gridSpan w:val="11"/>
          </w:tcPr>
          <w:p w14:paraId="1B1E7B12" w14:textId="77777777" w:rsidR="00AD35AC" w:rsidRPr="00AD35AC" w:rsidRDefault="00AD35AC" w:rsidP="00EB14AD">
            <w:pPr>
              <w:rPr>
                <w:rFonts w:ascii="Century" w:hAnsi="Century"/>
              </w:rPr>
            </w:pPr>
            <w:r w:rsidRPr="00AD35AC">
              <w:rPr>
                <w:rFonts w:ascii="Century" w:hAnsi="Century"/>
              </w:rPr>
              <w:t>The green boxes on the right of the diagram represent a conceptual vision of the published town plan.</w:t>
            </w:r>
          </w:p>
          <w:p w14:paraId="7B642DD0" w14:textId="77777777" w:rsidR="00AD35AC" w:rsidRPr="00AD35AC" w:rsidRDefault="00AD35AC" w:rsidP="00EB14AD">
            <w:pPr>
              <w:jc w:val="center"/>
            </w:pPr>
            <w:r w:rsidRPr="00AD35AC">
              <w:rPr>
                <w:noProof/>
              </w:rPr>
              <w:lastRenderedPageBreak/>
              <w:drawing>
                <wp:inline distT="0" distB="0" distL="0" distR="0" wp14:anchorId="2C12810E" wp14:editId="5CEDBFE4">
                  <wp:extent cx="5420995" cy="3772800"/>
                  <wp:effectExtent l="0" t="0" r="1905" b="0"/>
                  <wp:docPr id="1" name="Picture 1"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PI_TownPlan.png"/>
                          <pic:cNvPicPr/>
                        </pic:nvPicPr>
                        <pic:blipFill rotWithShape="1">
                          <a:blip r:embed="rId8">
                            <a:extLst>
                              <a:ext uri="{28A0092B-C50C-407E-A947-70E740481C1C}">
                                <a14:useLocalDpi xmlns:a14="http://schemas.microsoft.com/office/drawing/2010/main" val="0"/>
                              </a:ext>
                            </a:extLst>
                          </a:blip>
                          <a:srcRect b="7208"/>
                          <a:stretch/>
                        </pic:blipFill>
                        <pic:spPr bwMode="auto">
                          <a:xfrm>
                            <a:off x="0" y="0"/>
                            <a:ext cx="5423716" cy="3774694"/>
                          </a:xfrm>
                          <a:prstGeom prst="rect">
                            <a:avLst/>
                          </a:prstGeom>
                          <a:ln>
                            <a:noFill/>
                          </a:ln>
                          <a:extLst>
                            <a:ext uri="{53640926-AAD7-44D8-BBD7-CCE9431645EC}">
                              <a14:shadowObscured xmlns:a14="http://schemas.microsoft.com/office/drawing/2010/main"/>
                            </a:ext>
                          </a:extLst>
                        </pic:spPr>
                      </pic:pic>
                    </a:graphicData>
                  </a:graphic>
                </wp:inline>
              </w:drawing>
            </w:r>
          </w:p>
          <w:p w14:paraId="4D3E8151" w14:textId="77777777" w:rsidR="00AD35AC" w:rsidRPr="00AD35AC" w:rsidRDefault="00AD35AC" w:rsidP="00EB14AD">
            <w:pPr>
              <w:rPr>
                <w:rFonts w:ascii="Century" w:hAnsi="Century"/>
              </w:rPr>
            </w:pPr>
            <w:r w:rsidRPr="00AD35AC">
              <w:rPr>
                <w:rFonts w:ascii="Century" w:hAnsi="Century"/>
              </w:rPr>
              <w:t>The town plan is a high-level artefact that is managed by a UN/CEFACT architecture function (to be created) and contains only</w:t>
            </w:r>
          </w:p>
          <w:p w14:paraId="71F3EAE5" w14:textId="77777777" w:rsidR="00AD35AC" w:rsidRPr="00AD35AC" w:rsidRDefault="00AD35AC" w:rsidP="00AD35AC">
            <w:pPr>
              <w:pStyle w:val="a4"/>
              <w:rPr>
                <w:rFonts w:ascii="Century" w:hAnsi="Century"/>
              </w:rPr>
            </w:pPr>
            <w:proofErr w:type="gramStart"/>
            <w:r w:rsidRPr="00AD35AC">
              <w:rPr>
                <w:rFonts w:ascii="Century" w:hAnsi="Century"/>
              </w:rPr>
              <w:t>A list of business domains,</w:t>
            </w:r>
            <w:proofErr w:type="gramEnd"/>
            <w:r w:rsidRPr="00AD35AC">
              <w:rPr>
                <w:rFonts w:ascii="Century" w:hAnsi="Century"/>
              </w:rPr>
              <w:t xml:space="preserve"> most likely well aligned with current forum structure.  Each domain has a name, description, owner, and linked document repository.</w:t>
            </w:r>
          </w:p>
          <w:p w14:paraId="358757AA" w14:textId="77777777" w:rsidR="00AD35AC" w:rsidRPr="00AD35AC" w:rsidRDefault="00AD35AC" w:rsidP="00AD35AC">
            <w:pPr>
              <w:pStyle w:val="a4"/>
              <w:rPr>
                <w:rFonts w:ascii="Century" w:hAnsi="Century"/>
              </w:rPr>
            </w:pPr>
            <w:r w:rsidRPr="00AD35AC">
              <w:rPr>
                <w:rFonts w:ascii="Century" w:hAnsi="Century"/>
              </w:rPr>
              <w:t>A list of API resources (</w:t>
            </w:r>
            <w:proofErr w:type="spellStart"/>
            <w:r w:rsidRPr="00AD35AC">
              <w:rPr>
                <w:rFonts w:ascii="Century" w:hAnsi="Century"/>
              </w:rPr>
              <w:t>ie</w:t>
            </w:r>
            <w:proofErr w:type="spellEnd"/>
            <w:r w:rsidRPr="00AD35AC">
              <w:rPr>
                <w:rFonts w:ascii="Century" w:hAnsi="Century"/>
              </w:rPr>
              <w:t xml:space="preserve"> interfaces) owned by the domain.  For example, the /consignments resource would be owned by the transport domain.  Each resource has a name, description, and specification URL.</w:t>
            </w:r>
          </w:p>
          <w:p w14:paraId="243AF3FE" w14:textId="77777777" w:rsidR="00AD35AC" w:rsidRPr="00AD35AC" w:rsidRDefault="00AD35AC" w:rsidP="00AD35AC">
            <w:pPr>
              <w:pStyle w:val="a4"/>
              <w:rPr>
                <w:rFonts w:ascii="Century" w:hAnsi="Century"/>
              </w:rPr>
            </w:pPr>
            <w:r w:rsidRPr="00AD35AC">
              <w:rPr>
                <w:rFonts w:ascii="Century" w:hAnsi="Century"/>
              </w:rPr>
              <w:t>A list of dictionary entities and code lists managed by the domain.</w:t>
            </w:r>
          </w:p>
          <w:p w14:paraId="04AF2BF2" w14:textId="77777777" w:rsidR="00AD35AC" w:rsidRPr="00AD35AC" w:rsidRDefault="00AD35AC" w:rsidP="00AD35AC">
            <w:pPr>
              <w:pStyle w:val="a4"/>
              <w:rPr>
                <w:rFonts w:ascii="Century" w:hAnsi="Century"/>
              </w:rPr>
            </w:pPr>
          </w:p>
          <w:p w14:paraId="4F35A021" w14:textId="77777777" w:rsidR="00AD35AC" w:rsidRPr="00AD35AC" w:rsidRDefault="00AD35AC" w:rsidP="00EB14AD">
            <w:pPr>
              <w:rPr>
                <w:rFonts w:ascii="Century" w:hAnsi="Century"/>
              </w:rPr>
            </w:pPr>
            <w:r w:rsidRPr="00AD35AC">
              <w:rPr>
                <w:rFonts w:ascii="Century" w:hAnsi="Century"/>
              </w:rPr>
              <w:t xml:space="preserve">The detailed API specifications and dictionary semantics are managed by the relevant business domain not by the central architecture function.  </w:t>
            </w:r>
            <w:proofErr w:type="gramStart"/>
            <w:r w:rsidRPr="00AD35AC">
              <w:rPr>
                <w:rFonts w:ascii="Century" w:hAnsi="Century"/>
              </w:rPr>
              <w:t>However</w:t>
            </w:r>
            <w:proofErr w:type="gramEnd"/>
            <w:r w:rsidRPr="00AD35AC">
              <w:rPr>
                <w:rFonts w:ascii="Century" w:hAnsi="Century"/>
              </w:rPr>
              <w:t xml:space="preserve"> the architecture function may provide a quality review of candidate specifications prior to release from “</w:t>
            </w:r>
            <w:proofErr w:type="spellStart"/>
            <w:r w:rsidRPr="00AD35AC">
              <w:rPr>
                <w:rFonts w:ascii="Century" w:hAnsi="Century"/>
              </w:rPr>
              <w:t>drafft</w:t>
            </w:r>
            <w:proofErr w:type="spellEnd"/>
            <w:r w:rsidRPr="00AD35AC">
              <w:rPr>
                <w:rFonts w:ascii="Century" w:hAnsi="Century"/>
              </w:rPr>
              <w:t>” to “active” status.</w:t>
            </w:r>
          </w:p>
          <w:p w14:paraId="3F4D3B2D" w14:textId="77777777" w:rsidR="00AD35AC" w:rsidRPr="00AD35AC" w:rsidRDefault="00AD35AC" w:rsidP="00AD35AC">
            <w:pPr>
              <w:pStyle w:val="a3"/>
              <w:numPr>
                <w:ilvl w:val="0"/>
                <w:numId w:val="8"/>
              </w:numPr>
              <w:rPr>
                <w:rFonts w:ascii="Century" w:hAnsi="Century"/>
              </w:rPr>
            </w:pPr>
            <w:r w:rsidRPr="00AD35AC">
              <w:rPr>
                <w:rFonts w:ascii="Century" w:hAnsi="Century"/>
              </w:rPr>
              <w:t xml:space="preserve">The “Trade” domain is expected to include resources such as </w:t>
            </w:r>
            <w:proofErr w:type="spellStart"/>
            <w:r w:rsidRPr="00AD35AC">
              <w:rPr>
                <w:rFonts w:ascii="Century" w:hAnsi="Century"/>
              </w:rPr>
              <w:t>TradeItems</w:t>
            </w:r>
            <w:proofErr w:type="spellEnd"/>
            <w:r w:rsidRPr="00AD35AC">
              <w:rPr>
                <w:rFonts w:ascii="Century" w:hAnsi="Century"/>
              </w:rPr>
              <w:t>, invoices, orders, remittances, etc.</w:t>
            </w:r>
          </w:p>
          <w:p w14:paraId="10E405EB" w14:textId="77777777" w:rsidR="00AD35AC" w:rsidRPr="00AD35AC" w:rsidRDefault="00AD35AC" w:rsidP="00AD35AC">
            <w:pPr>
              <w:pStyle w:val="a3"/>
              <w:numPr>
                <w:ilvl w:val="0"/>
                <w:numId w:val="8"/>
              </w:numPr>
              <w:rPr>
                <w:rFonts w:ascii="Century" w:hAnsi="Century"/>
              </w:rPr>
            </w:pPr>
            <w:r w:rsidRPr="00AD35AC">
              <w:rPr>
                <w:rFonts w:ascii="Century" w:hAnsi="Century"/>
              </w:rPr>
              <w:t>The “Transport” domain is expected to include resources such as shipments, consignments, containers, movements, etc.</w:t>
            </w:r>
          </w:p>
          <w:p w14:paraId="16C3B050" w14:textId="77777777" w:rsidR="00AD35AC" w:rsidRPr="00AD35AC" w:rsidRDefault="00AD35AC" w:rsidP="00AD35AC">
            <w:pPr>
              <w:pStyle w:val="a3"/>
              <w:numPr>
                <w:ilvl w:val="0"/>
                <w:numId w:val="8"/>
              </w:numPr>
              <w:rPr>
                <w:rFonts w:ascii="Century" w:hAnsi="Century"/>
              </w:rPr>
            </w:pPr>
            <w:r w:rsidRPr="00AD35AC">
              <w:rPr>
                <w:rFonts w:ascii="Century" w:hAnsi="Century"/>
              </w:rPr>
              <w:t>The “Regulatory” domain is expected to include resources such as declarations, certificates, permits, etc.</w:t>
            </w:r>
          </w:p>
          <w:p w14:paraId="44BD8C17" w14:textId="33D2F6A6" w:rsidR="00AD35AC" w:rsidRPr="00AD35AC" w:rsidRDefault="00AD35AC" w:rsidP="00EB14AD">
            <w:pPr>
              <w:pStyle w:val="a3"/>
              <w:numPr>
                <w:ilvl w:val="0"/>
                <w:numId w:val="8"/>
              </w:numPr>
              <w:rPr>
                <w:rFonts w:ascii="Century" w:hAnsi="Century"/>
              </w:rPr>
            </w:pPr>
            <w:r w:rsidRPr="00AD35AC">
              <w:rPr>
                <w:rFonts w:ascii="Century" w:hAnsi="Century"/>
              </w:rPr>
              <w:lastRenderedPageBreak/>
              <w:t>The “Finance” domain is expected to include resources such as (letters of) credits, insurances, loans, etc.</w:t>
            </w:r>
          </w:p>
          <w:p w14:paraId="36B42FB0" w14:textId="77777777" w:rsidR="00AD35AC" w:rsidRPr="00AD35AC" w:rsidRDefault="00AD35AC" w:rsidP="00EB14AD">
            <w:pPr>
              <w:rPr>
                <w:rFonts w:ascii="Century" w:hAnsi="Century"/>
              </w:rPr>
            </w:pPr>
            <w:r w:rsidRPr="00AD35AC">
              <w:rPr>
                <w:rFonts w:ascii="Century" w:hAnsi="Century"/>
              </w:rPr>
              <w:t>This project will deliver a first draft town plan and a governance framework for ongoing maintenance of the town plan as a living framework.  The town plan will be maintained as a structured data set (</w:t>
            </w:r>
            <w:proofErr w:type="spellStart"/>
            <w:r w:rsidRPr="00AD35AC">
              <w:rPr>
                <w:rFonts w:ascii="Century" w:hAnsi="Century"/>
              </w:rPr>
              <w:t>eg</w:t>
            </w:r>
            <w:proofErr w:type="spellEnd"/>
            <w:r w:rsidRPr="00AD35AC">
              <w:rPr>
                <w:rFonts w:ascii="Century" w:hAnsi="Century"/>
              </w:rPr>
              <w:t xml:space="preserve"> a JSON file) and will be published as both structured data and a live clickable HTML page.  The named resources (</w:t>
            </w:r>
            <w:proofErr w:type="spellStart"/>
            <w:r w:rsidRPr="00AD35AC">
              <w:rPr>
                <w:rFonts w:ascii="Century" w:hAnsi="Century"/>
              </w:rPr>
              <w:t>eg</w:t>
            </w:r>
            <w:proofErr w:type="spellEnd"/>
            <w:r w:rsidRPr="00AD35AC">
              <w:rPr>
                <w:rFonts w:ascii="Century" w:hAnsi="Century"/>
              </w:rPr>
              <w:t xml:space="preserve"> “/consignments”) on the town plan will be </w:t>
            </w:r>
            <w:proofErr w:type="spellStart"/>
            <w:r w:rsidRPr="00AD35AC">
              <w:rPr>
                <w:rFonts w:ascii="Century" w:hAnsi="Century"/>
              </w:rPr>
              <w:t>colour</w:t>
            </w:r>
            <w:proofErr w:type="spellEnd"/>
            <w:r w:rsidRPr="00AD35AC">
              <w:rPr>
                <w:rFonts w:ascii="Century" w:hAnsi="Century"/>
              </w:rPr>
              <w:t xml:space="preserve"> coded to indicate their status</w:t>
            </w:r>
          </w:p>
          <w:p w14:paraId="39964AE7" w14:textId="77777777" w:rsidR="00AD35AC" w:rsidRPr="00AD35AC" w:rsidRDefault="00AD35AC" w:rsidP="00AD35AC">
            <w:pPr>
              <w:pStyle w:val="a3"/>
              <w:numPr>
                <w:ilvl w:val="0"/>
                <w:numId w:val="11"/>
              </w:numPr>
              <w:rPr>
                <w:rFonts w:ascii="Century" w:hAnsi="Century"/>
              </w:rPr>
            </w:pPr>
            <w:r w:rsidRPr="00AD35AC">
              <w:rPr>
                <w:rFonts w:ascii="Century" w:hAnsi="Century"/>
              </w:rPr>
              <w:t>Grey would mean that the need for the resource has been agreed with the responsible domain – but the detailed API specification has not yet been published.</w:t>
            </w:r>
          </w:p>
          <w:p w14:paraId="6A1E68DA" w14:textId="6F1534BC" w:rsidR="00AD35AC" w:rsidRPr="00AD35AC" w:rsidRDefault="00AD35AC" w:rsidP="00EB14AD">
            <w:pPr>
              <w:pStyle w:val="a3"/>
              <w:numPr>
                <w:ilvl w:val="0"/>
                <w:numId w:val="11"/>
              </w:numPr>
              <w:rPr>
                <w:rFonts w:ascii="Century" w:hAnsi="Century"/>
              </w:rPr>
            </w:pPr>
            <w:r w:rsidRPr="00AD35AC">
              <w:rPr>
                <w:rFonts w:ascii="Century" w:hAnsi="Century"/>
              </w:rPr>
              <w:t>Blue would mean that there is a detailed specification completed to at least draft quality level. Blue resources would be hyperlinked to the corresponding OpenAPI3.0 specification and JSON-LD dictionaries.</w:t>
            </w:r>
          </w:p>
          <w:p w14:paraId="1B9805F1" w14:textId="261BBB8D" w:rsidR="00AD35AC" w:rsidRPr="00AD35AC" w:rsidRDefault="00AD35AC" w:rsidP="00EB14AD">
            <w:pPr>
              <w:rPr>
                <w:rFonts w:ascii="Century" w:hAnsi="Century"/>
              </w:rPr>
            </w:pPr>
            <w:r w:rsidRPr="00AD35AC">
              <w:rPr>
                <w:rFonts w:ascii="Century" w:hAnsi="Century"/>
              </w:rPr>
              <w:t>The project will also deliver at least one documented use case that highlights the use of the town plan and associated API specifications for a long running complex trade process such as a multi-modal transport scenario for an international consignment.</w:t>
            </w:r>
          </w:p>
        </w:tc>
      </w:tr>
      <w:tr w:rsidR="00AD35AC" w:rsidRPr="00AD35AC" w14:paraId="5F7584A1" w14:textId="77777777" w:rsidTr="00AD35AC">
        <w:tc>
          <w:tcPr>
            <w:tcW w:w="8500" w:type="dxa"/>
            <w:gridSpan w:val="11"/>
            <w:shd w:val="clear" w:color="auto" w:fill="D9D9D9" w:themeFill="background1" w:themeFillShade="D9"/>
          </w:tcPr>
          <w:p w14:paraId="62EDFFA7" w14:textId="0BA4CE96" w:rsidR="00AD35AC" w:rsidRPr="00AD35AC" w:rsidRDefault="00AD35AC" w:rsidP="00EB14AD">
            <w:pPr>
              <w:rPr>
                <w:b/>
              </w:rPr>
            </w:pPr>
            <w:r w:rsidRPr="00AD35AC">
              <w:rPr>
                <w:b/>
              </w:rPr>
              <w:lastRenderedPageBreak/>
              <w:t>3. Project deliverables</w:t>
            </w:r>
          </w:p>
        </w:tc>
      </w:tr>
      <w:tr w:rsidR="00AD35AC" w:rsidRPr="00AD35AC" w14:paraId="2FD5102F" w14:textId="77777777" w:rsidTr="00AD35AC">
        <w:tc>
          <w:tcPr>
            <w:tcW w:w="2122" w:type="dxa"/>
            <w:gridSpan w:val="2"/>
            <w:shd w:val="clear" w:color="auto" w:fill="F2F2F2" w:themeFill="background1" w:themeFillShade="F2"/>
          </w:tcPr>
          <w:p w14:paraId="3A6E01F6" w14:textId="77777777" w:rsidR="00AD35AC" w:rsidRPr="00AD35AC" w:rsidRDefault="00AD35AC" w:rsidP="00EB14AD">
            <w:r w:rsidRPr="00AD35AC">
              <w:t>Deliverable 1:</w:t>
            </w:r>
          </w:p>
        </w:tc>
        <w:tc>
          <w:tcPr>
            <w:tcW w:w="6378" w:type="dxa"/>
            <w:gridSpan w:val="9"/>
            <w:vAlign w:val="center"/>
          </w:tcPr>
          <w:p w14:paraId="294DFC4E" w14:textId="77777777" w:rsidR="00AD35AC" w:rsidRPr="00AD35AC" w:rsidRDefault="00AD35AC" w:rsidP="00EB14AD">
            <w:pPr>
              <w:rPr>
                <w:rFonts w:ascii="Century" w:hAnsi="Century"/>
              </w:rPr>
            </w:pPr>
            <w:r w:rsidRPr="00AD35AC">
              <w:rPr>
                <w:rFonts w:ascii="Century" w:hAnsi="Century"/>
                <w:b/>
              </w:rPr>
              <w:t>First Draft Town Plan:</w:t>
            </w:r>
            <w:r w:rsidRPr="00AD35AC">
              <w:rPr>
                <w:rFonts w:ascii="Century" w:hAnsi="Century"/>
              </w:rPr>
              <w:t xml:space="preserve">  A Domain / Resource map for all CEFACT domains and API resources.  Agreed with each domain and published as a live web page.</w:t>
            </w:r>
          </w:p>
        </w:tc>
      </w:tr>
      <w:tr w:rsidR="00AD35AC" w:rsidRPr="00AD35AC" w14:paraId="19E7C243" w14:textId="77777777" w:rsidTr="00AD35AC">
        <w:tc>
          <w:tcPr>
            <w:tcW w:w="2122" w:type="dxa"/>
            <w:gridSpan w:val="2"/>
            <w:shd w:val="clear" w:color="auto" w:fill="F2F2F2" w:themeFill="background1" w:themeFillShade="F2"/>
          </w:tcPr>
          <w:p w14:paraId="1BDA985E" w14:textId="77777777" w:rsidR="00AD35AC" w:rsidRPr="00AD35AC" w:rsidRDefault="00AD35AC" w:rsidP="00EB14AD">
            <w:r w:rsidRPr="00AD35AC">
              <w:t>Deliverable 2:</w:t>
            </w:r>
          </w:p>
        </w:tc>
        <w:tc>
          <w:tcPr>
            <w:tcW w:w="6378" w:type="dxa"/>
            <w:gridSpan w:val="9"/>
            <w:vAlign w:val="center"/>
          </w:tcPr>
          <w:p w14:paraId="2C1417F4" w14:textId="77777777" w:rsidR="00AD35AC" w:rsidRPr="00AD35AC" w:rsidRDefault="00AD35AC" w:rsidP="00EB14AD">
            <w:pPr>
              <w:rPr>
                <w:rFonts w:ascii="Century" w:hAnsi="Century"/>
              </w:rPr>
            </w:pPr>
            <w:r w:rsidRPr="00AD35AC">
              <w:rPr>
                <w:rFonts w:ascii="Century" w:hAnsi="Century"/>
                <w:b/>
              </w:rPr>
              <w:t>Governance Model:</w:t>
            </w:r>
            <w:r w:rsidRPr="00AD35AC">
              <w:rPr>
                <w:rFonts w:ascii="Century" w:hAnsi="Century"/>
              </w:rPr>
              <w:t xml:space="preserve">  Definition of a new role (CEFACT Architecture) and associated lightweight governance procedures to support ongoing maintenance of the town plan.</w:t>
            </w:r>
          </w:p>
        </w:tc>
      </w:tr>
      <w:tr w:rsidR="00AD35AC" w:rsidRPr="00AD35AC" w14:paraId="648BB66E" w14:textId="77777777" w:rsidTr="00AD35AC">
        <w:tc>
          <w:tcPr>
            <w:tcW w:w="2122" w:type="dxa"/>
            <w:gridSpan w:val="2"/>
            <w:shd w:val="clear" w:color="auto" w:fill="F2F2F2" w:themeFill="background1" w:themeFillShade="F2"/>
          </w:tcPr>
          <w:p w14:paraId="6B1436EA" w14:textId="77777777" w:rsidR="00AD35AC" w:rsidRPr="00AD35AC" w:rsidRDefault="00AD35AC" w:rsidP="00EB14AD">
            <w:r w:rsidRPr="00AD35AC">
              <w:t>Deliverable 3:</w:t>
            </w:r>
          </w:p>
        </w:tc>
        <w:tc>
          <w:tcPr>
            <w:tcW w:w="6378" w:type="dxa"/>
            <w:gridSpan w:val="9"/>
            <w:vAlign w:val="center"/>
          </w:tcPr>
          <w:p w14:paraId="018BA027" w14:textId="77777777" w:rsidR="00AD35AC" w:rsidRPr="00AD35AC" w:rsidRDefault="00AD35AC" w:rsidP="00EB14AD">
            <w:pPr>
              <w:rPr>
                <w:rFonts w:ascii="Century" w:hAnsi="Century"/>
              </w:rPr>
            </w:pPr>
            <w:r w:rsidRPr="00AD35AC">
              <w:rPr>
                <w:rFonts w:ascii="Century" w:hAnsi="Century"/>
                <w:b/>
              </w:rPr>
              <w:t>Detailed API specifications:</w:t>
            </w:r>
            <w:r w:rsidRPr="00AD35AC">
              <w:rPr>
                <w:rFonts w:ascii="Century" w:hAnsi="Century"/>
              </w:rPr>
              <w:t xml:space="preserve">  At least two complete examples of API specifications from at least two different domains.  </w:t>
            </w:r>
          </w:p>
        </w:tc>
      </w:tr>
      <w:tr w:rsidR="00AD35AC" w:rsidRPr="00AD35AC" w14:paraId="7CA4673B" w14:textId="77777777" w:rsidTr="00AD35AC">
        <w:tc>
          <w:tcPr>
            <w:tcW w:w="2122" w:type="dxa"/>
            <w:gridSpan w:val="2"/>
            <w:shd w:val="clear" w:color="auto" w:fill="F2F2F2" w:themeFill="background1" w:themeFillShade="F2"/>
          </w:tcPr>
          <w:p w14:paraId="5EE297FD" w14:textId="77777777" w:rsidR="00AD35AC" w:rsidRPr="00AD35AC" w:rsidRDefault="00AD35AC" w:rsidP="00EB14AD">
            <w:r w:rsidRPr="00AD35AC">
              <w:t>Deliverable 4:</w:t>
            </w:r>
          </w:p>
        </w:tc>
        <w:tc>
          <w:tcPr>
            <w:tcW w:w="6378" w:type="dxa"/>
            <w:gridSpan w:val="9"/>
            <w:vAlign w:val="center"/>
          </w:tcPr>
          <w:p w14:paraId="35EDBE25" w14:textId="77777777" w:rsidR="00AD35AC" w:rsidRPr="00AD35AC" w:rsidRDefault="00AD35AC" w:rsidP="00EB14AD">
            <w:pPr>
              <w:rPr>
                <w:rFonts w:ascii="Century" w:hAnsi="Century"/>
                <w:b/>
              </w:rPr>
            </w:pPr>
            <w:r w:rsidRPr="00AD35AC">
              <w:rPr>
                <w:rFonts w:ascii="Century" w:hAnsi="Century"/>
                <w:b/>
              </w:rPr>
              <w:t xml:space="preserve">Use case: </w:t>
            </w:r>
            <w:r w:rsidRPr="00AD35AC">
              <w:rPr>
                <w:rFonts w:ascii="Century" w:hAnsi="Century"/>
              </w:rPr>
              <w:t>Multimodal international consignment use case documented and reviewed/approved by transport domain.</w:t>
            </w:r>
          </w:p>
        </w:tc>
      </w:tr>
      <w:tr w:rsidR="00AD35AC" w:rsidRPr="00AD35AC" w14:paraId="5372A90E" w14:textId="77777777" w:rsidTr="00AD35AC">
        <w:tc>
          <w:tcPr>
            <w:tcW w:w="8500" w:type="dxa"/>
            <w:gridSpan w:val="11"/>
            <w:shd w:val="clear" w:color="auto" w:fill="D9D9D9" w:themeFill="background1" w:themeFillShade="D9"/>
            <w:vAlign w:val="center"/>
          </w:tcPr>
          <w:p w14:paraId="45FE9A4F" w14:textId="45FA43DC" w:rsidR="00AD35AC" w:rsidRPr="00AD35AC" w:rsidRDefault="00AD35AC" w:rsidP="00EB14AD">
            <w:pPr>
              <w:rPr>
                <w:b/>
              </w:rPr>
            </w:pPr>
            <w:r w:rsidRPr="00AD35AC">
              <w:rPr>
                <w:b/>
              </w:rPr>
              <w:t>4. Exit Criteria</w:t>
            </w:r>
          </w:p>
        </w:tc>
      </w:tr>
      <w:tr w:rsidR="00AD35AC" w:rsidRPr="00AD35AC" w14:paraId="151379F0" w14:textId="77777777" w:rsidTr="00AD35AC">
        <w:tc>
          <w:tcPr>
            <w:tcW w:w="2122" w:type="dxa"/>
            <w:gridSpan w:val="2"/>
            <w:shd w:val="clear" w:color="auto" w:fill="F2F2F2" w:themeFill="background1" w:themeFillShade="F2"/>
          </w:tcPr>
          <w:p w14:paraId="70CC6E8D" w14:textId="77777777" w:rsidR="00AD35AC" w:rsidRPr="00402E49" w:rsidRDefault="00AD35AC" w:rsidP="00EB14AD">
            <w:pPr>
              <w:rPr>
                <w:rFonts w:ascii="Century" w:hAnsi="Century"/>
              </w:rPr>
            </w:pPr>
            <w:r w:rsidRPr="00402E49">
              <w:rPr>
                <w:rFonts w:ascii="Century" w:hAnsi="Century"/>
              </w:rPr>
              <w:t xml:space="preserve">Exit Criteria for </w:t>
            </w:r>
            <w:proofErr w:type="spellStart"/>
            <w:r w:rsidRPr="00402E49">
              <w:rPr>
                <w:rFonts w:ascii="Century" w:hAnsi="Century"/>
              </w:rPr>
              <w:t>Deliv</w:t>
            </w:r>
            <w:proofErr w:type="spellEnd"/>
            <w:r w:rsidRPr="00402E49">
              <w:rPr>
                <w:rFonts w:ascii="Century" w:hAnsi="Century"/>
              </w:rPr>
              <w:t>. 1:</w:t>
            </w:r>
          </w:p>
        </w:tc>
        <w:tc>
          <w:tcPr>
            <w:tcW w:w="6378" w:type="dxa"/>
            <w:gridSpan w:val="9"/>
            <w:vAlign w:val="center"/>
          </w:tcPr>
          <w:p w14:paraId="6DBA09B6" w14:textId="77777777" w:rsidR="00AD35AC" w:rsidRPr="00AD35AC" w:rsidRDefault="00AD35AC" w:rsidP="00EB14AD">
            <w:pPr>
              <w:rPr>
                <w:rFonts w:ascii="Century" w:hAnsi="Century"/>
              </w:rPr>
            </w:pPr>
            <w:r w:rsidRPr="00AD35AC">
              <w:rPr>
                <w:rFonts w:ascii="Century" w:hAnsi="Century"/>
              </w:rPr>
              <w:t>First draft town plan agreed with domains and published.</w:t>
            </w:r>
          </w:p>
        </w:tc>
      </w:tr>
      <w:tr w:rsidR="00AD35AC" w:rsidRPr="00AD35AC" w14:paraId="221ABF0D" w14:textId="77777777" w:rsidTr="00AD35AC">
        <w:tc>
          <w:tcPr>
            <w:tcW w:w="2122" w:type="dxa"/>
            <w:gridSpan w:val="2"/>
            <w:shd w:val="clear" w:color="auto" w:fill="F2F2F2" w:themeFill="background1" w:themeFillShade="F2"/>
          </w:tcPr>
          <w:p w14:paraId="2739B88B" w14:textId="77777777" w:rsidR="00AD35AC" w:rsidRPr="00402E49" w:rsidRDefault="00AD35AC" w:rsidP="00EB14AD">
            <w:pPr>
              <w:rPr>
                <w:rFonts w:ascii="Century" w:hAnsi="Century"/>
              </w:rPr>
            </w:pPr>
            <w:r w:rsidRPr="00402E49">
              <w:rPr>
                <w:rFonts w:ascii="Century" w:hAnsi="Century"/>
              </w:rPr>
              <w:t xml:space="preserve">Exit Criteria for </w:t>
            </w:r>
            <w:proofErr w:type="spellStart"/>
            <w:r w:rsidRPr="00402E49">
              <w:rPr>
                <w:rFonts w:ascii="Century" w:hAnsi="Century"/>
              </w:rPr>
              <w:t>Deliv</w:t>
            </w:r>
            <w:proofErr w:type="spellEnd"/>
            <w:r w:rsidRPr="00402E49">
              <w:rPr>
                <w:rFonts w:ascii="Century" w:hAnsi="Century"/>
              </w:rPr>
              <w:t>. 2:</w:t>
            </w:r>
          </w:p>
        </w:tc>
        <w:tc>
          <w:tcPr>
            <w:tcW w:w="6378" w:type="dxa"/>
            <w:gridSpan w:val="9"/>
            <w:vAlign w:val="center"/>
          </w:tcPr>
          <w:p w14:paraId="6C69637E" w14:textId="77777777" w:rsidR="00AD35AC" w:rsidRPr="00AD35AC" w:rsidRDefault="00AD35AC" w:rsidP="00EB14AD">
            <w:pPr>
              <w:rPr>
                <w:rFonts w:ascii="Century" w:hAnsi="Century"/>
              </w:rPr>
            </w:pPr>
            <w:r w:rsidRPr="00AD35AC">
              <w:rPr>
                <w:rFonts w:ascii="Century" w:hAnsi="Century"/>
              </w:rPr>
              <w:t>Architect role established and governance procedures agreed by CEFACT bureau.</w:t>
            </w:r>
          </w:p>
        </w:tc>
      </w:tr>
      <w:tr w:rsidR="00AD35AC" w:rsidRPr="00AD35AC" w14:paraId="0166CC38" w14:textId="77777777" w:rsidTr="00AD35AC">
        <w:tc>
          <w:tcPr>
            <w:tcW w:w="2122" w:type="dxa"/>
            <w:gridSpan w:val="2"/>
            <w:shd w:val="clear" w:color="auto" w:fill="F2F2F2" w:themeFill="background1" w:themeFillShade="F2"/>
          </w:tcPr>
          <w:p w14:paraId="77202D50" w14:textId="77777777" w:rsidR="00AD35AC" w:rsidRPr="00402E49" w:rsidRDefault="00AD35AC" w:rsidP="00EB14AD">
            <w:pPr>
              <w:rPr>
                <w:rFonts w:ascii="Century" w:hAnsi="Century"/>
              </w:rPr>
            </w:pPr>
            <w:r w:rsidRPr="00402E49">
              <w:rPr>
                <w:rFonts w:ascii="Century" w:hAnsi="Century"/>
              </w:rPr>
              <w:t xml:space="preserve">Exit Criteria for </w:t>
            </w:r>
            <w:proofErr w:type="spellStart"/>
            <w:r w:rsidRPr="00402E49">
              <w:rPr>
                <w:rFonts w:ascii="Century" w:hAnsi="Century"/>
              </w:rPr>
              <w:lastRenderedPageBreak/>
              <w:t>Deliv</w:t>
            </w:r>
            <w:proofErr w:type="spellEnd"/>
            <w:r w:rsidRPr="00402E49">
              <w:rPr>
                <w:rFonts w:ascii="Century" w:hAnsi="Century"/>
              </w:rPr>
              <w:t>. 3:</w:t>
            </w:r>
          </w:p>
        </w:tc>
        <w:tc>
          <w:tcPr>
            <w:tcW w:w="6378" w:type="dxa"/>
            <w:gridSpan w:val="9"/>
            <w:vAlign w:val="center"/>
          </w:tcPr>
          <w:p w14:paraId="28773CDE" w14:textId="77777777" w:rsidR="00AD35AC" w:rsidRPr="00AD35AC" w:rsidRDefault="00AD35AC" w:rsidP="00EB14AD">
            <w:pPr>
              <w:rPr>
                <w:rFonts w:ascii="Century" w:hAnsi="Century"/>
              </w:rPr>
            </w:pPr>
            <w:r w:rsidRPr="00AD35AC">
              <w:rPr>
                <w:rFonts w:ascii="Century" w:hAnsi="Century"/>
              </w:rPr>
              <w:lastRenderedPageBreak/>
              <w:t xml:space="preserve">4 x API specifications (2 resources in 2 domains) published at </w:t>
            </w:r>
            <w:r w:rsidRPr="00AD35AC">
              <w:rPr>
                <w:rFonts w:ascii="Century" w:hAnsi="Century"/>
              </w:rPr>
              <w:lastRenderedPageBreak/>
              <w:t>draft quality level.</w:t>
            </w:r>
          </w:p>
        </w:tc>
      </w:tr>
      <w:tr w:rsidR="00AD35AC" w:rsidRPr="00AD35AC" w14:paraId="30F9F197" w14:textId="77777777" w:rsidTr="00AD35AC">
        <w:tc>
          <w:tcPr>
            <w:tcW w:w="2122" w:type="dxa"/>
            <w:gridSpan w:val="2"/>
            <w:shd w:val="clear" w:color="auto" w:fill="F2F2F2" w:themeFill="background1" w:themeFillShade="F2"/>
          </w:tcPr>
          <w:p w14:paraId="5FB54354" w14:textId="77777777" w:rsidR="00AD35AC" w:rsidRPr="00402E49" w:rsidRDefault="00AD35AC" w:rsidP="00EB14AD">
            <w:pPr>
              <w:rPr>
                <w:rFonts w:ascii="Century" w:hAnsi="Century"/>
              </w:rPr>
            </w:pPr>
            <w:r w:rsidRPr="00402E49">
              <w:rPr>
                <w:rFonts w:ascii="Century" w:hAnsi="Century"/>
              </w:rPr>
              <w:lastRenderedPageBreak/>
              <w:t xml:space="preserve">Exit Criteria for </w:t>
            </w:r>
            <w:proofErr w:type="spellStart"/>
            <w:r w:rsidRPr="00402E49">
              <w:rPr>
                <w:rFonts w:ascii="Century" w:hAnsi="Century"/>
              </w:rPr>
              <w:t>Deliv</w:t>
            </w:r>
            <w:proofErr w:type="spellEnd"/>
            <w:r w:rsidRPr="00402E49">
              <w:rPr>
                <w:rFonts w:ascii="Century" w:hAnsi="Century"/>
              </w:rPr>
              <w:t xml:space="preserve"> 4:</w:t>
            </w:r>
          </w:p>
        </w:tc>
        <w:tc>
          <w:tcPr>
            <w:tcW w:w="6378" w:type="dxa"/>
            <w:gridSpan w:val="9"/>
            <w:vAlign w:val="center"/>
          </w:tcPr>
          <w:p w14:paraId="47E4D631" w14:textId="77777777" w:rsidR="00AD35AC" w:rsidRPr="00AD35AC" w:rsidRDefault="00AD35AC" w:rsidP="00EB14AD">
            <w:pPr>
              <w:rPr>
                <w:rFonts w:ascii="Century" w:hAnsi="Century"/>
              </w:rPr>
            </w:pPr>
            <w:r w:rsidRPr="00AD35AC">
              <w:rPr>
                <w:rFonts w:ascii="Century" w:hAnsi="Century"/>
              </w:rPr>
              <w:t>Multimodal transport use case published.</w:t>
            </w:r>
          </w:p>
        </w:tc>
      </w:tr>
      <w:tr w:rsidR="00AD35AC" w:rsidRPr="00AD35AC" w14:paraId="028089CD" w14:textId="77777777" w:rsidTr="00AD35AC">
        <w:tc>
          <w:tcPr>
            <w:tcW w:w="8500" w:type="dxa"/>
            <w:gridSpan w:val="11"/>
            <w:shd w:val="clear" w:color="auto" w:fill="D9D9D9" w:themeFill="background1" w:themeFillShade="D9"/>
            <w:vAlign w:val="center"/>
          </w:tcPr>
          <w:p w14:paraId="7FB5F4E2" w14:textId="77777777" w:rsidR="00AD35AC" w:rsidRPr="00AD35AC" w:rsidRDefault="00AD35AC" w:rsidP="00EB14AD">
            <w:r w:rsidRPr="00AD35AC">
              <w:rPr>
                <w:b/>
              </w:rPr>
              <w:t>5. Project team membership and required functional expertise</w:t>
            </w:r>
          </w:p>
        </w:tc>
      </w:tr>
      <w:tr w:rsidR="00AD35AC" w:rsidRPr="00AD35AC" w14:paraId="7EA4AF0D" w14:textId="77777777" w:rsidTr="00AD35AC">
        <w:tc>
          <w:tcPr>
            <w:tcW w:w="8500" w:type="dxa"/>
            <w:gridSpan w:val="11"/>
            <w:shd w:val="clear" w:color="auto" w:fill="F2F2F2" w:themeFill="background1" w:themeFillShade="F2"/>
          </w:tcPr>
          <w:p w14:paraId="18332F27" w14:textId="77777777" w:rsidR="00AD35AC" w:rsidRPr="00AD35AC" w:rsidRDefault="00AD35AC" w:rsidP="00EB14AD">
            <w:pPr>
              <w:rPr>
                <w:rFonts w:ascii="Century" w:hAnsi="Century"/>
                <w:b/>
              </w:rPr>
            </w:pPr>
            <w:r w:rsidRPr="00AD35AC">
              <w:rPr>
                <w:rFonts w:ascii="Century" w:hAnsi="Century"/>
              </w:rPr>
              <w:t xml:space="preserve">Membership is open to UN/CEFACT experts with broad knowledge </w:t>
            </w:r>
            <w:proofErr w:type="gramStart"/>
            <w:r w:rsidRPr="00AD35AC">
              <w:rPr>
                <w:rFonts w:ascii="Century" w:hAnsi="Century"/>
              </w:rPr>
              <w:t>in the area of</w:t>
            </w:r>
            <w:proofErr w:type="gramEnd"/>
            <w:r w:rsidRPr="00AD35AC">
              <w:rPr>
                <w:rFonts w:ascii="Century" w:hAnsi="Century"/>
              </w:rPr>
              <w:t>:</w:t>
            </w:r>
          </w:p>
        </w:tc>
      </w:tr>
      <w:tr w:rsidR="00AD35AC" w:rsidRPr="00AD35AC" w14:paraId="1BC782A1" w14:textId="77777777" w:rsidTr="00AD35AC">
        <w:tc>
          <w:tcPr>
            <w:tcW w:w="8500" w:type="dxa"/>
            <w:gridSpan w:val="11"/>
            <w:shd w:val="clear" w:color="auto" w:fill="FFFFFF" w:themeFill="background1"/>
          </w:tcPr>
          <w:p w14:paraId="0EDC8C4C" w14:textId="77777777" w:rsidR="00AD35AC" w:rsidRPr="00AD35AC" w:rsidRDefault="00AD35AC" w:rsidP="00AD35AC">
            <w:pPr>
              <w:pStyle w:val="a3"/>
              <w:numPr>
                <w:ilvl w:val="0"/>
                <w:numId w:val="9"/>
              </w:numPr>
              <w:rPr>
                <w:rFonts w:ascii="Century" w:hAnsi="Century"/>
              </w:rPr>
            </w:pPr>
            <w:r w:rsidRPr="00AD35AC">
              <w:rPr>
                <w:rFonts w:ascii="Century" w:hAnsi="Century"/>
              </w:rPr>
              <w:t>International trade &amp; transport procedures subject matter expertise</w:t>
            </w:r>
          </w:p>
          <w:p w14:paraId="3DFEFBC7" w14:textId="77777777" w:rsidR="00AD35AC" w:rsidRPr="00AD35AC" w:rsidRDefault="00AD35AC" w:rsidP="00AD35AC">
            <w:pPr>
              <w:pStyle w:val="a3"/>
              <w:numPr>
                <w:ilvl w:val="0"/>
                <w:numId w:val="9"/>
              </w:numPr>
              <w:rPr>
                <w:rFonts w:ascii="Century" w:hAnsi="Century"/>
              </w:rPr>
            </w:pPr>
            <w:r w:rsidRPr="00AD35AC">
              <w:rPr>
                <w:rFonts w:ascii="Century" w:hAnsi="Century"/>
              </w:rPr>
              <w:t>Regulatory procedures subject matter expertise</w:t>
            </w:r>
          </w:p>
          <w:p w14:paraId="7A0DD5A9" w14:textId="77777777" w:rsidR="00AD35AC" w:rsidRPr="00AD35AC" w:rsidRDefault="00AD35AC" w:rsidP="00AD35AC">
            <w:pPr>
              <w:pStyle w:val="a3"/>
              <w:numPr>
                <w:ilvl w:val="0"/>
                <w:numId w:val="9"/>
              </w:numPr>
              <w:rPr>
                <w:rFonts w:ascii="Century" w:hAnsi="Century"/>
              </w:rPr>
            </w:pPr>
            <w:r w:rsidRPr="00AD35AC">
              <w:rPr>
                <w:rFonts w:ascii="Century" w:hAnsi="Century"/>
              </w:rPr>
              <w:t>Information modeling</w:t>
            </w:r>
          </w:p>
          <w:p w14:paraId="7FCAA276" w14:textId="77777777" w:rsidR="00AD35AC" w:rsidRPr="00AD35AC" w:rsidRDefault="00AD35AC" w:rsidP="00AD35AC">
            <w:pPr>
              <w:pStyle w:val="a3"/>
              <w:numPr>
                <w:ilvl w:val="0"/>
                <w:numId w:val="9"/>
              </w:numPr>
            </w:pPr>
            <w:r w:rsidRPr="00AD35AC">
              <w:rPr>
                <w:rFonts w:ascii="Century" w:hAnsi="Century"/>
              </w:rPr>
              <w:t>RESTful API design</w:t>
            </w:r>
          </w:p>
        </w:tc>
      </w:tr>
      <w:tr w:rsidR="00AD35AC" w:rsidRPr="00AD35AC" w14:paraId="68A27167" w14:textId="77777777" w:rsidTr="00AD35AC">
        <w:tc>
          <w:tcPr>
            <w:tcW w:w="8500" w:type="dxa"/>
            <w:gridSpan w:val="11"/>
            <w:shd w:val="clear" w:color="auto" w:fill="F2F2F2" w:themeFill="background1" w:themeFillShade="F2"/>
          </w:tcPr>
          <w:p w14:paraId="4FEB1468" w14:textId="77777777" w:rsidR="00AD35AC" w:rsidRPr="00AD35AC" w:rsidRDefault="00AD35AC" w:rsidP="00EB14AD">
            <w:pPr>
              <w:rPr>
                <w:rFonts w:ascii="Century" w:hAnsi="Century"/>
              </w:rPr>
            </w:pPr>
            <w:r w:rsidRPr="00AD35AC">
              <w:rPr>
                <w:rFonts w:ascii="Century" w:hAnsi="Century"/>
              </w:rPr>
              <w:t>In addition, Heads of Delegations may invite technical experts from their constituency to participate in the work.</w:t>
            </w:r>
          </w:p>
          <w:p w14:paraId="087AC349" w14:textId="77777777" w:rsidR="00AD35AC" w:rsidRPr="00AD35AC" w:rsidRDefault="00AD35AC" w:rsidP="00EB14AD">
            <w:r w:rsidRPr="00AD35AC">
              <w:rPr>
                <w:rFonts w:ascii="Century" w:hAnsi="Century"/>
              </w:rPr>
              <w:t>Experts are expected to contribute to the work based solely on their expertise and to comply with the UN/CEFACT Code of Conduct and Ethics and the policy on Intellectual Property Rights.</w:t>
            </w:r>
          </w:p>
        </w:tc>
      </w:tr>
      <w:tr w:rsidR="00AD35AC" w:rsidRPr="00AD35AC" w14:paraId="636BA2A6" w14:textId="77777777" w:rsidTr="00AD35AC">
        <w:tc>
          <w:tcPr>
            <w:tcW w:w="8500" w:type="dxa"/>
            <w:gridSpan w:val="11"/>
            <w:shd w:val="clear" w:color="auto" w:fill="D9D9D9" w:themeFill="background1" w:themeFillShade="D9"/>
            <w:vAlign w:val="center"/>
          </w:tcPr>
          <w:p w14:paraId="3AE56ADD" w14:textId="77777777" w:rsidR="00AD35AC" w:rsidRPr="00AD35AC" w:rsidRDefault="00AD35AC" w:rsidP="00EB14AD">
            <w:pPr>
              <w:rPr>
                <w:b/>
              </w:rPr>
            </w:pPr>
            <w:r w:rsidRPr="00AD35AC">
              <w:rPr>
                <w:b/>
              </w:rPr>
              <w:t xml:space="preserve">6. </w:t>
            </w:r>
            <w:proofErr w:type="spellStart"/>
            <w:r w:rsidRPr="00AD35AC">
              <w:rPr>
                <w:b/>
              </w:rPr>
              <w:t>HoD</w:t>
            </w:r>
            <w:proofErr w:type="spellEnd"/>
            <w:r w:rsidRPr="00AD35AC">
              <w:rPr>
                <w:b/>
              </w:rPr>
              <w:t xml:space="preserve"> support</w:t>
            </w:r>
          </w:p>
          <w:p w14:paraId="0E417016" w14:textId="77777777" w:rsidR="00AD35AC" w:rsidRPr="00AD35AC" w:rsidRDefault="00AD35AC" w:rsidP="00EB14AD">
            <w:pPr>
              <w:rPr>
                <w:rFonts w:ascii="Century" w:hAnsi="Century"/>
                <w:i/>
              </w:rPr>
            </w:pPr>
            <w:r w:rsidRPr="00AD35AC">
              <w:rPr>
                <w:rFonts w:ascii="Century" w:hAnsi="Century"/>
                <w:i/>
              </w:rPr>
              <w:t>Required for Technical Standards, Business Standards and UNECE Recommendations. And at the request of the UN/CEFACT Bureau.</w:t>
            </w:r>
          </w:p>
          <w:p w14:paraId="7F75C09F" w14:textId="77777777" w:rsidR="00AD35AC" w:rsidRPr="00AD35AC" w:rsidRDefault="00AD35AC" w:rsidP="00EB14AD">
            <w:r w:rsidRPr="00AD35AC">
              <w:rPr>
                <w:rFonts w:ascii="Century" w:hAnsi="Century"/>
                <w:i/>
              </w:rPr>
              <w:t xml:space="preserve">Projects that require </w:t>
            </w:r>
            <w:proofErr w:type="spellStart"/>
            <w:r w:rsidRPr="00AD35AC">
              <w:rPr>
                <w:rFonts w:ascii="Century" w:hAnsi="Century"/>
                <w:i/>
              </w:rPr>
              <w:t>HoD</w:t>
            </w:r>
            <w:proofErr w:type="spellEnd"/>
            <w:r w:rsidRPr="00AD35AC">
              <w:rPr>
                <w:rFonts w:ascii="Century" w:hAnsi="Century"/>
                <w:i/>
              </w:rPr>
              <w:t xml:space="preserve"> support must obtain this within 6 months of Bureau provisional approval.</w:t>
            </w:r>
          </w:p>
        </w:tc>
      </w:tr>
      <w:tr w:rsidR="00AD35AC" w:rsidRPr="00AD35AC" w14:paraId="5028E90E" w14:textId="77777777" w:rsidTr="00AD35AC">
        <w:tc>
          <w:tcPr>
            <w:tcW w:w="2972" w:type="dxa"/>
            <w:gridSpan w:val="4"/>
          </w:tcPr>
          <w:p w14:paraId="334BA321" w14:textId="77777777" w:rsidR="00AD35AC" w:rsidRPr="00402E49" w:rsidRDefault="00AD35AC" w:rsidP="00EB14AD">
            <w:pPr>
              <w:rPr>
                <w:rFonts w:ascii="Century" w:hAnsi="Century"/>
              </w:rPr>
            </w:pPr>
            <w:r w:rsidRPr="00402E49">
              <w:rPr>
                <w:rFonts w:ascii="Century" w:hAnsi="Century"/>
              </w:rPr>
              <w:t>Australia</w:t>
            </w:r>
          </w:p>
        </w:tc>
        <w:tc>
          <w:tcPr>
            <w:tcW w:w="5528" w:type="dxa"/>
            <w:gridSpan w:val="7"/>
          </w:tcPr>
          <w:p w14:paraId="77BE073F" w14:textId="77777777" w:rsidR="00AD35AC" w:rsidRPr="00AD35AC" w:rsidRDefault="00AD35AC" w:rsidP="00EB14AD"/>
        </w:tc>
      </w:tr>
      <w:tr w:rsidR="00AD35AC" w:rsidRPr="00AD35AC" w14:paraId="6F6FF66F" w14:textId="77777777" w:rsidTr="00AD35AC">
        <w:tc>
          <w:tcPr>
            <w:tcW w:w="2972" w:type="dxa"/>
            <w:gridSpan w:val="4"/>
          </w:tcPr>
          <w:p w14:paraId="4C81B0F3" w14:textId="77777777" w:rsidR="00AD35AC" w:rsidRPr="00402E49" w:rsidRDefault="00AD35AC" w:rsidP="00EB14AD">
            <w:pPr>
              <w:rPr>
                <w:rFonts w:ascii="Century" w:hAnsi="Century"/>
              </w:rPr>
            </w:pPr>
            <w:r w:rsidRPr="00402E49">
              <w:rPr>
                <w:rFonts w:ascii="Century" w:hAnsi="Century"/>
              </w:rPr>
              <w:t>UK</w:t>
            </w:r>
          </w:p>
        </w:tc>
        <w:tc>
          <w:tcPr>
            <w:tcW w:w="5528" w:type="dxa"/>
            <w:gridSpan w:val="7"/>
          </w:tcPr>
          <w:p w14:paraId="266E4594" w14:textId="77777777" w:rsidR="00AD35AC" w:rsidRPr="00AD35AC" w:rsidRDefault="00AD35AC" w:rsidP="00EB14AD"/>
        </w:tc>
      </w:tr>
      <w:tr w:rsidR="00AD35AC" w:rsidRPr="00AD35AC" w14:paraId="426EB1E8" w14:textId="77777777" w:rsidTr="00AD35AC">
        <w:tc>
          <w:tcPr>
            <w:tcW w:w="2972" w:type="dxa"/>
            <w:gridSpan w:val="4"/>
          </w:tcPr>
          <w:p w14:paraId="354DFEF4" w14:textId="77777777" w:rsidR="00AD35AC" w:rsidRPr="00402E49" w:rsidRDefault="00AD35AC" w:rsidP="00EB14AD">
            <w:pPr>
              <w:rPr>
                <w:rFonts w:ascii="Century" w:hAnsi="Century"/>
              </w:rPr>
            </w:pPr>
            <w:r w:rsidRPr="00402E49">
              <w:rPr>
                <w:rFonts w:ascii="Century" w:hAnsi="Century"/>
              </w:rPr>
              <w:t>Singapore</w:t>
            </w:r>
          </w:p>
        </w:tc>
        <w:tc>
          <w:tcPr>
            <w:tcW w:w="5528" w:type="dxa"/>
            <w:gridSpan w:val="7"/>
          </w:tcPr>
          <w:p w14:paraId="0C3AAF96" w14:textId="77777777" w:rsidR="00AD35AC" w:rsidRPr="00AD35AC" w:rsidRDefault="00AD35AC" w:rsidP="00EB14AD"/>
        </w:tc>
      </w:tr>
      <w:tr w:rsidR="00AD35AC" w:rsidRPr="00AD35AC" w14:paraId="7F000391" w14:textId="77777777" w:rsidTr="00AD35AC">
        <w:tc>
          <w:tcPr>
            <w:tcW w:w="8500" w:type="dxa"/>
            <w:gridSpan w:val="11"/>
            <w:shd w:val="clear" w:color="auto" w:fill="D9D9D9" w:themeFill="background1" w:themeFillShade="D9"/>
            <w:vAlign w:val="center"/>
          </w:tcPr>
          <w:p w14:paraId="2BABF5C3" w14:textId="77777777" w:rsidR="00AD35AC" w:rsidRPr="00AD35AC" w:rsidRDefault="00AD35AC" w:rsidP="00EB14AD">
            <w:r w:rsidRPr="00AD35AC">
              <w:rPr>
                <w:b/>
              </w:rPr>
              <w:t>7. Geographical focus</w:t>
            </w:r>
          </w:p>
        </w:tc>
      </w:tr>
      <w:tr w:rsidR="00AD35AC" w:rsidRPr="00AD35AC" w14:paraId="131A8814" w14:textId="77777777" w:rsidTr="00AD35AC">
        <w:tc>
          <w:tcPr>
            <w:tcW w:w="8500" w:type="dxa"/>
            <w:gridSpan w:val="11"/>
            <w:shd w:val="clear" w:color="auto" w:fill="F2F2F2" w:themeFill="background1" w:themeFillShade="F2"/>
            <w:vAlign w:val="center"/>
          </w:tcPr>
          <w:p w14:paraId="3E95C7B0" w14:textId="77777777" w:rsidR="00AD35AC" w:rsidRPr="00AD35AC" w:rsidRDefault="00AD35AC" w:rsidP="00EB14AD">
            <w:pPr>
              <w:rPr>
                <w:b/>
              </w:rPr>
            </w:pPr>
            <w:r w:rsidRPr="00AD35AC">
              <w:t>The geographical focus of the project is global</w:t>
            </w:r>
          </w:p>
        </w:tc>
      </w:tr>
      <w:tr w:rsidR="00AD35AC" w:rsidRPr="00AD35AC" w14:paraId="5140EB4F" w14:textId="77777777" w:rsidTr="00AD35AC">
        <w:tc>
          <w:tcPr>
            <w:tcW w:w="8500" w:type="dxa"/>
            <w:gridSpan w:val="11"/>
            <w:shd w:val="clear" w:color="auto" w:fill="D9D9D9" w:themeFill="background1" w:themeFillShade="D9"/>
            <w:vAlign w:val="center"/>
          </w:tcPr>
          <w:p w14:paraId="7BE31245" w14:textId="77777777" w:rsidR="00AD35AC" w:rsidRPr="00AD35AC" w:rsidRDefault="00AD35AC" w:rsidP="00EB14AD">
            <w:r w:rsidRPr="00AD35AC">
              <w:rPr>
                <w:b/>
              </w:rPr>
              <w:t>8. Initial contributions &amp; dependencies</w:t>
            </w:r>
          </w:p>
        </w:tc>
      </w:tr>
      <w:tr w:rsidR="00AD35AC" w:rsidRPr="00AD35AC" w14:paraId="2C6EAA45" w14:textId="77777777" w:rsidTr="00AD35AC">
        <w:tc>
          <w:tcPr>
            <w:tcW w:w="8500" w:type="dxa"/>
            <w:gridSpan w:val="11"/>
            <w:shd w:val="clear" w:color="auto" w:fill="F2F2F2" w:themeFill="background1" w:themeFillShade="F2"/>
          </w:tcPr>
          <w:p w14:paraId="4290147C" w14:textId="77777777" w:rsidR="00AD35AC" w:rsidRPr="00AD35AC" w:rsidRDefault="00AD35AC" w:rsidP="00EB14AD">
            <w:pPr>
              <w:rPr>
                <w:rFonts w:ascii="Century" w:hAnsi="Century"/>
                <w:b/>
              </w:rPr>
            </w:pPr>
            <w:r w:rsidRPr="00AD35AC">
              <w:rPr>
                <w:rFonts w:ascii="Century" w:hAnsi="Century"/>
              </w:rPr>
              <w:t xml:space="preserve">The following contributions are submitted as part of this proposal. It is understood that these contributions are only for consideration by the Project Team and that other participants may submit additional contributions in order to ensure that as </w:t>
            </w:r>
            <w:r w:rsidRPr="00AD35AC">
              <w:rPr>
                <w:rFonts w:ascii="Century" w:hAnsi="Century"/>
              </w:rPr>
              <w:lastRenderedPageBreak/>
              <w:t>much information as possible is obtained from those with expertise and a  material interest in the project. It is also understood that the Project Team may choose to adopt one or more of these contributions “as is”.</w:t>
            </w:r>
          </w:p>
        </w:tc>
      </w:tr>
      <w:tr w:rsidR="00AD35AC" w:rsidRPr="00AD35AC" w14:paraId="4F8C06AD" w14:textId="77777777" w:rsidTr="00AD35AC">
        <w:tc>
          <w:tcPr>
            <w:tcW w:w="8500" w:type="dxa"/>
            <w:gridSpan w:val="11"/>
            <w:shd w:val="clear" w:color="auto" w:fill="F2F2F2" w:themeFill="background1" w:themeFillShade="F2"/>
          </w:tcPr>
          <w:p w14:paraId="2C86EF03" w14:textId="77777777" w:rsidR="00AD35AC" w:rsidRPr="00AD35AC" w:rsidRDefault="00AD35AC" w:rsidP="00EB14AD">
            <w:r w:rsidRPr="00AD35AC">
              <w:rPr>
                <w:b/>
                <w:i/>
              </w:rPr>
              <w:lastRenderedPageBreak/>
              <w:t>List any initial contribution &amp; dependencies:</w:t>
            </w:r>
          </w:p>
        </w:tc>
      </w:tr>
      <w:tr w:rsidR="00AD35AC" w:rsidRPr="00AD35AC" w14:paraId="7D979EA6" w14:textId="77777777" w:rsidTr="00AD35AC">
        <w:tc>
          <w:tcPr>
            <w:tcW w:w="8500" w:type="dxa"/>
            <w:gridSpan w:val="11"/>
          </w:tcPr>
          <w:p w14:paraId="49E90AB7" w14:textId="77777777" w:rsidR="00AD35AC" w:rsidRPr="00AD35AC" w:rsidRDefault="00AD35AC" w:rsidP="00AD35AC">
            <w:pPr>
              <w:pStyle w:val="a3"/>
              <w:numPr>
                <w:ilvl w:val="0"/>
                <w:numId w:val="6"/>
              </w:numPr>
              <w:rPr>
                <w:rFonts w:ascii="Century" w:hAnsi="Century"/>
              </w:rPr>
            </w:pPr>
            <w:r w:rsidRPr="00AD35AC">
              <w:rPr>
                <w:rFonts w:ascii="Century" w:hAnsi="Century"/>
              </w:rPr>
              <w:t>Depends on “alpha” quality RDM2API specifications &amp; tooling</w:t>
            </w:r>
          </w:p>
          <w:p w14:paraId="7E9036EA" w14:textId="22525109" w:rsidR="00AD35AC" w:rsidRPr="00AD35AC" w:rsidRDefault="00AD35AC" w:rsidP="00EB14AD">
            <w:pPr>
              <w:pStyle w:val="a3"/>
              <w:numPr>
                <w:ilvl w:val="0"/>
                <w:numId w:val="6"/>
              </w:numPr>
              <w:rPr>
                <w:rFonts w:ascii="Century" w:hAnsi="Century"/>
              </w:rPr>
            </w:pPr>
            <w:r w:rsidRPr="00AD35AC">
              <w:rPr>
                <w:rFonts w:ascii="Century" w:hAnsi="Century"/>
              </w:rPr>
              <w:t>Depends on existing published UN/CEFACT RDMs.</w:t>
            </w:r>
          </w:p>
        </w:tc>
      </w:tr>
      <w:tr w:rsidR="00AD35AC" w:rsidRPr="00AD35AC" w14:paraId="02CE5242" w14:textId="77777777" w:rsidTr="00AD35AC">
        <w:trPr>
          <w:trHeight w:val="576"/>
        </w:trPr>
        <w:tc>
          <w:tcPr>
            <w:tcW w:w="8500" w:type="dxa"/>
            <w:gridSpan w:val="11"/>
            <w:shd w:val="clear" w:color="auto" w:fill="D9D9D9" w:themeFill="background1" w:themeFillShade="D9"/>
            <w:vAlign w:val="center"/>
          </w:tcPr>
          <w:p w14:paraId="3CAE3905" w14:textId="77777777" w:rsidR="00AD35AC" w:rsidRPr="00AD35AC" w:rsidRDefault="00AD35AC" w:rsidP="00EB14AD">
            <w:r w:rsidRPr="00AD35AC">
              <w:rPr>
                <w:b/>
              </w:rPr>
              <w:t>9. Resource requirements</w:t>
            </w:r>
          </w:p>
        </w:tc>
      </w:tr>
      <w:tr w:rsidR="00AD35AC" w:rsidRPr="00AD35AC" w14:paraId="7E6E3188" w14:textId="77777777" w:rsidTr="00AD35AC">
        <w:tc>
          <w:tcPr>
            <w:tcW w:w="8500" w:type="dxa"/>
            <w:gridSpan w:val="11"/>
            <w:shd w:val="clear" w:color="auto" w:fill="F2F2F2" w:themeFill="background1" w:themeFillShade="F2"/>
          </w:tcPr>
          <w:p w14:paraId="40364E7F" w14:textId="77777777" w:rsidR="00AD35AC" w:rsidRPr="00AD35AC" w:rsidRDefault="00AD35AC" w:rsidP="00EB14AD">
            <w:pPr>
              <w:rPr>
                <w:rFonts w:ascii="Century" w:hAnsi="Century"/>
                <w:b/>
              </w:rPr>
            </w:pPr>
            <w:r w:rsidRPr="00AD35AC">
              <w:rPr>
                <w:rFonts w:ascii="Century" w:hAnsi="Century"/>
              </w:rPr>
              <w:t>Participants in the project shall provide resources for their own participation. The existence and functioning of the project shall not require any additional resources from the UNECE secretariat.</w:t>
            </w:r>
          </w:p>
        </w:tc>
      </w:tr>
      <w:tr w:rsidR="00AD35AC" w:rsidRPr="00AD35AC" w14:paraId="67EE8E59" w14:textId="77777777" w:rsidTr="00AD35AC">
        <w:tc>
          <w:tcPr>
            <w:tcW w:w="2972" w:type="dxa"/>
            <w:gridSpan w:val="4"/>
            <w:shd w:val="clear" w:color="auto" w:fill="F2F2F2" w:themeFill="background1" w:themeFillShade="F2"/>
            <w:vAlign w:val="center"/>
          </w:tcPr>
          <w:p w14:paraId="646F259E" w14:textId="77777777" w:rsidR="00AD35AC" w:rsidRPr="00AD35AC" w:rsidRDefault="00AD35AC" w:rsidP="00EB14AD">
            <w:r w:rsidRPr="00AD35AC">
              <w:t>Any additional request:</w:t>
            </w:r>
          </w:p>
        </w:tc>
        <w:tc>
          <w:tcPr>
            <w:tcW w:w="5528" w:type="dxa"/>
            <w:gridSpan w:val="7"/>
            <w:shd w:val="clear" w:color="auto" w:fill="FFFFFF" w:themeFill="background1"/>
            <w:vAlign w:val="center"/>
          </w:tcPr>
          <w:p w14:paraId="1702F7F1" w14:textId="77777777" w:rsidR="00AD35AC" w:rsidRPr="00AD35AC" w:rsidRDefault="00AD35AC" w:rsidP="00EB14AD">
            <w:r w:rsidRPr="00AD35AC">
              <w:t>None</w:t>
            </w:r>
          </w:p>
        </w:tc>
      </w:tr>
      <w:tr w:rsidR="00AD35AC" w:rsidRPr="00AD35AC" w14:paraId="04417BFC" w14:textId="77777777" w:rsidTr="00AD35AC">
        <w:trPr>
          <w:trHeight w:val="576"/>
        </w:trPr>
        <w:tc>
          <w:tcPr>
            <w:tcW w:w="8500" w:type="dxa"/>
            <w:gridSpan w:val="11"/>
            <w:shd w:val="clear" w:color="auto" w:fill="D9D9D9" w:themeFill="background1" w:themeFillShade="D9"/>
            <w:vAlign w:val="center"/>
          </w:tcPr>
          <w:p w14:paraId="45D7D635" w14:textId="77777777" w:rsidR="00AD35AC" w:rsidRPr="00AD35AC" w:rsidRDefault="00AD35AC" w:rsidP="00EB14AD">
            <w:r w:rsidRPr="00AD35AC">
              <w:rPr>
                <w:b/>
              </w:rPr>
              <w:t>10. Proposed project leadership</w:t>
            </w:r>
          </w:p>
        </w:tc>
      </w:tr>
      <w:tr w:rsidR="00AD35AC" w:rsidRPr="00AD35AC" w14:paraId="3720A38B" w14:textId="77777777" w:rsidTr="00AD35AC">
        <w:tc>
          <w:tcPr>
            <w:tcW w:w="2405" w:type="dxa"/>
            <w:gridSpan w:val="3"/>
            <w:shd w:val="clear" w:color="auto" w:fill="F2F2F2" w:themeFill="background1" w:themeFillShade="F2"/>
          </w:tcPr>
          <w:p w14:paraId="5F3E2605" w14:textId="77777777" w:rsidR="00AD35AC" w:rsidRPr="00AD35AC" w:rsidRDefault="00AD35AC" w:rsidP="00EB14AD">
            <w:r w:rsidRPr="00AD35AC">
              <w:t xml:space="preserve">Proposed: </w:t>
            </w:r>
          </w:p>
        </w:tc>
        <w:tc>
          <w:tcPr>
            <w:tcW w:w="1843" w:type="dxa"/>
            <w:gridSpan w:val="3"/>
          </w:tcPr>
          <w:p w14:paraId="6E4585D9" w14:textId="77777777" w:rsidR="00AD35AC" w:rsidRPr="00AD35AC" w:rsidRDefault="00AD35AC" w:rsidP="00EB14AD">
            <w:r w:rsidRPr="00AD35AC">
              <w:t xml:space="preserve">Steven </w:t>
            </w:r>
            <w:proofErr w:type="spellStart"/>
            <w:r w:rsidRPr="00AD35AC">
              <w:t>Capell</w:t>
            </w:r>
            <w:proofErr w:type="spellEnd"/>
          </w:p>
        </w:tc>
        <w:tc>
          <w:tcPr>
            <w:tcW w:w="1134" w:type="dxa"/>
            <w:gridSpan w:val="2"/>
            <w:shd w:val="clear" w:color="auto" w:fill="F2F2F2" w:themeFill="background1" w:themeFillShade="F2"/>
          </w:tcPr>
          <w:p w14:paraId="7C2CD595" w14:textId="77777777" w:rsidR="00AD35AC" w:rsidRPr="00AD35AC" w:rsidRDefault="00AD35AC" w:rsidP="00EB14AD">
            <w:r w:rsidRPr="00AD35AC">
              <w:t>E-mail:</w:t>
            </w:r>
          </w:p>
        </w:tc>
        <w:tc>
          <w:tcPr>
            <w:tcW w:w="3118" w:type="dxa"/>
            <w:gridSpan w:val="3"/>
            <w:vAlign w:val="center"/>
          </w:tcPr>
          <w:p w14:paraId="5F0AA9CA" w14:textId="77777777" w:rsidR="00AD35AC" w:rsidRPr="00AD35AC" w:rsidRDefault="00AD35AC" w:rsidP="00EB14AD">
            <w:r w:rsidRPr="00AD35AC">
              <w:t>Steve.capell@gmail.com</w:t>
            </w:r>
          </w:p>
        </w:tc>
      </w:tr>
      <w:tr w:rsidR="00AD35AC" w:rsidRPr="00AD35AC" w14:paraId="727A58EC" w14:textId="77777777" w:rsidTr="00AD35AC">
        <w:tc>
          <w:tcPr>
            <w:tcW w:w="8500" w:type="dxa"/>
            <w:gridSpan w:val="11"/>
            <w:shd w:val="clear" w:color="auto" w:fill="D9D9D9" w:themeFill="background1" w:themeFillShade="D9"/>
          </w:tcPr>
          <w:p w14:paraId="7A2EDA51" w14:textId="77777777" w:rsidR="00AD35AC" w:rsidRPr="00AD35AC" w:rsidRDefault="00AD35AC" w:rsidP="00EB14AD">
            <w:r w:rsidRPr="00AD35AC">
              <w:rPr>
                <w:b/>
              </w:rPr>
              <w:t xml:space="preserve">11. Milestones (dates </w:t>
            </w:r>
            <w:proofErr w:type="spellStart"/>
            <w:r w:rsidRPr="00AD35AC">
              <w:rPr>
                <w:b/>
              </w:rPr>
              <w:t>vay</w:t>
            </w:r>
            <w:proofErr w:type="spellEnd"/>
            <w:r w:rsidRPr="00AD35AC">
              <w:rPr>
                <w:b/>
              </w:rPr>
              <w:t xml:space="preserve"> by deliverable)</w:t>
            </w:r>
          </w:p>
        </w:tc>
      </w:tr>
      <w:tr w:rsidR="00AD35AC" w:rsidRPr="00AD35AC" w14:paraId="7E95560A" w14:textId="77777777" w:rsidTr="00AD35AC">
        <w:trPr>
          <w:trHeight w:val="353"/>
        </w:trPr>
        <w:tc>
          <w:tcPr>
            <w:tcW w:w="1413" w:type="dxa"/>
            <w:shd w:val="clear" w:color="auto" w:fill="F2F2F2" w:themeFill="background1" w:themeFillShade="F2"/>
          </w:tcPr>
          <w:p w14:paraId="5AB24D8B" w14:textId="77777777" w:rsidR="00AD35AC" w:rsidRPr="00AD35AC" w:rsidRDefault="00AD35AC" w:rsidP="00EB14AD">
            <w:pPr>
              <w:rPr>
                <w:b/>
              </w:rPr>
            </w:pPr>
            <w:r w:rsidRPr="00AD35AC">
              <w:rPr>
                <w:b/>
              </w:rPr>
              <w:t>Required?</w:t>
            </w:r>
          </w:p>
        </w:tc>
        <w:tc>
          <w:tcPr>
            <w:tcW w:w="1559" w:type="dxa"/>
            <w:gridSpan w:val="3"/>
            <w:shd w:val="clear" w:color="auto" w:fill="F2F2F2" w:themeFill="background1" w:themeFillShade="F2"/>
          </w:tcPr>
          <w:p w14:paraId="0555B86C" w14:textId="77777777" w:rsidR="00AD35AC" w:rsidRPr="00AD35AC" w:rsidRDefault="00AD35AC" w:rsidP="00EB14AD">
            <w:pPr>
              <w:rPr>
                <w:b/>
              </w:rPr>
            </w:pPr>
            <w:r w:rsidRPr="00AD35AC">
              <w:rPr>
                <w:b/>
              </w:rPr>
              <w:t>ODP Stage</w:t>
            </w:r>
          </w:p>
        </w:tc>
        <w:tc>
          <w:tcPr>
            <w:tcW w:w="1795" w:type="dxa"/>
            <w:gridSpan w:val="3"/>
            <w:shd w:val="clear" w:color="auto" w:fill="F2F2F2" w:themeFill="background1" w:themeFillShade="F2"/>
          </w:tcPr>
          <w:p w14:paraId="4490C26E" w14:textId="77777777" w:rsidR="00AD35AC" w:rsidRPr="00AD35AC" w:rsidRDefault="00AD35AC" w:rsidP="00EB14AD">
            <w:pPr>
              <w:rPr>
                <w:b/>
              </w:rPr>
            </w:pPr>
            <w:proofErr w:type="spellStart"/>
            <w:r w:rsidRPr="00AD35AC">
              <w:rPr>
                <w:b/>
              </w:rPr>
              <w:t>Deliv</w:t>
            </w:r>
            <w:proofErr w:type="spellEnd"/>
            <w:r w:rsidRPr="00AD35AC">
              <w:rPr>
                <w:b/>
              </w:rPr>
              <w:t xml:space="preserve"> 1 &amp; 2</w:t>
            </w:r>
          </w:p>
        </w:tc>
        <w:tc>
          <w:tcPr>
            <w:tcW w:w="1891" w:type="dxa"/>
            <w:gridSpan w:val="3"/>
            <w:shd w:val="clear" w:color="auto" w:fill="F2F2F2" w:themeFill="background1" w:themeFillShade="F2"/>
          </w:tcPr>
          <w:p w14:paraId="007FBC79" w14:textId="77777777" w:rsidR="00AD35AC" w:rsidRPr="00AD35AC" w:rsidRDefault="00AD35AC" w:rsidP="00EB14AD">
            <w:pPr>
              <w:rPr>
                <w:b/>
              </w:rPr>
            </w:pPr>
            <w:proofErr w:type="spellStart"/>
            <w:r w:rsidRPr="00AD35AC">
              <w:rPr>
                <w:b/>
              </w:rPr>
              <w:t>Deliv</w:t>
            </w:r>
            <w:proofErr w:type="spellEnd"/>
            <w:r w:rsidRPr="00AD35AC">
              <w:rPr>
                <w:b/>
              </w:rPr>
              <w:t xml:space="preserve"> 3</w:t>
            </w:r>
          </w:p>
        </w:tc>
        <w:tc>
          <w:tcPr>
            <w:tcW w:w="1842" w:type="dxa"/>
            <w:shd w:val="clear" w:color="auto" w:fill="F2F2F2" w:themeFill="background1" w:themeFillShade="F2"/>
          </w:tcPr>
          <w:p w14:paraId="3F6E1E83" w14:textId="77777777" w:rsidR="00AD35AC" w:rsidRPr="00AD35AC" w:rsidRDefault="00AD35AC" w:rsidP="00EB14AD">
            <w:pPr>
              <w:rPr>
                <w:b/>
              </w:rPr>
            </w:pPr>
            <w:proofErr w:type="spellStart"/>
            <w:r w:rsidRPr="00AD35AC">
              <w:rPr>
                <w:b/>
              </w:rPr>
              <w:t>Deliv</w:t>
            </w:r>
            <w:proofErr w:type="spellEnd"/>
            <w:r w:rsidRPr="00AD35AC">
              <w:rPr>
                <w:b/>
              </w:rPr>
              <w:t xml:space="preserve"> 4</w:t>
            </w:r>
          </w:p>
        </w:tc>
      </w:tr>
      <w:tr w:rsidR="00AD35AC" w:rsidRPr="00AD35AC" w14:paraId="6528886F" w14:textId="77777777" w:rsidTr="00AD35AC">
        <w:trPr>
          <w:trHeight w:val="353"/>
        </w:trPr>
        <w:tc>
          <w:tcPr>
            <w:tcW w:w="1413" w:type="dxa"/>
            <w:shd w:val="clear" w:color="auto" w:fill="FFFFFF" w:themeFill="background1"/>
          </w:tcPr>
          <w:p w14:paraId="4212A9C1" w14:textId="77777777" w:rsidR="00AD35AC" w:rsidRPr="00AD35AC" w:rsidRDefault="00AD35AC" w:rsidP="00EB14AD">
            <w:pPr>
              <w:rPr>
                <w:b/>
              </w:rPr>
            </w:pPr>
            <w:r w:rsidRPr="00AD35AC">
              <w:rPr>
                <w:b/>
              </w:rPr>
              <w:t>Y</w:t>
            </w:r>
          </w:p>
        </w:tc>
        <w:tc>
          <w:tcPr>
            <w:tcW w:w="1559" w:type="dxa"/>
            <w:gridSpan w:val="3"/>
            <w:shd w:val="clear" w:color="auto" w:fill="F2F2F2" w:themeFill="background1" w:themeFillShade="F2"/>
          </w:tcPr>
          <w:p w14:paraId="61072F26" w14:textId="77777777" w:rsidR="00AD35AC" w:rsidRPr="00AD35AC" w:rsidRDefault="00AD35AC" w:rsidP="00EB14AD">
            <w:pPr>
              <w:rPr>
                <w:rFonts w:ascii="Century" w:hAnsi="Century"/>
                <w:b/>
              </w:rPr>
            </w:pPr>
            <w:r w:rsidRPr="00AD35AC">
              <w:rPr>
                <w:rFonts w:ascii="Century" w:hAnsi="Century"/>
              </w:rPr>
              <w:t>Project Inception</w:t>
            </w:r>
          </w:p>
        </w:tc>
        <w:tc>
          <w:tcPr>
            <w:tcW w:w="1795" w:type="dxa"/>
            <w:gridSpan w:val="3"/>
            <w:shd w:val="clear" w:color="auto" w:fill="FFFFFF" w:themeFill="background1"/>
          </w:tcPr>
          <w:p w14:paraId="6BA89D11" w14:textId="77777777" w:rsidR="00AD35AC" w:rsidRPr="00AD35AC" w:rsidRDefault="00AD35AC" w:rsidP="00EB14AD">
            <w:pPr>
              <w:rPr>
                <w:rFonts w:ascii="Century" w:hAnsi="Century"/>
                <w:b/>
              </w:rPr>
            </w:pPr>
            <w:r w:rsidRPr="00AD35AC">
              <w:rPr>
                <w:rFonts w:ascii="Century" w:hAnsi="Century"/>
              </w:rPr>
              <w:t>July 2019</w:t>
            </w:r>
          </w:p>
        </w:tc>
        <w:tc>
          <w:tcPr>
            <w:tcW w:w="1891" w:type="dxa"/>
            <w:gridSpan w:val="3"/>
            <w:shd w:val="clear" w:color="auto" w:fill="FFFFFF" w:themeFill="background1"/>
          </w:tcPr>
          <w:p w14:paraId="3E9E9454" w14:textId="77777777" w:rsidR="00AD35AC" w:rsidRPr="00AD35AC" w:rsidRDefault="00AD35AC" w:rsidP="00EB14AD">
            <w:pPr>
              <w:rPr>
                <w:rFonts w:ascii="Century" w:hAnsi="Century"/>
                <w:b/>
              </w:rPr>
            </w:pPr>
            <w:r w:rsidRPr="00AD35AC">
              <w:rPr>
                <w:rFonts w:ascii="Century" w:hAnsi="Century"/>
              </w:rPr>
              <w:t>July 2019</w:t>
            </w:r>
          </w:p>
        </w:tc>
        <w:tc>
          <w:tcPr>
            <w:tcW w:w="1842" w:type="dxa"/>
            <w:shd w:val="clear" w:color="auto" w:fill="FFFFFF" w:themeFill="background1"/>
          </w:tcPr>
          <w:p w14:paraId="64AD3DCB" w14:textId="77777777" w:rsidR="00AD35AC" w:rsidRPr="00AD35AC" w:rsidRDefault="00AD35AC" w:rsidP="00EB14AD">
            <w:pPr>
              <w:rPr>
                <w:rFonts w:ascii="Century" w:hAnsi="Century"/>
                <w:b/>
              </w:rPr>
            </w:pPr>
            <w:r w:rsidRPr="00AD35AC">
              <w:rPr>
                <w:rFonts w:ascii="Century" w:hAnsi="Century"/>
              </w:rPr>
              <w:t>July 2019</w:t>
            </w:r>
          </w:p>
        </w:tc>
      </w:tr>
      <w:tr w:rsidR="00AD35AC" w:rsidRPr="00AD35AC" w14:paraId="4184AA2F" w14:textId="77777777" w:rsidTr="00AD35AC">
        <w:trPr>
          <w:trHeight w:val="353"/>
        </w:trPr>
        <w:tc>
          <w:tcPr>
            <w:tcW w:w="1413" w:type="dxa"/>
            <w:shd w:val="clear" w:color="auto" w:fill="FFFFFF" w:themeFill="background1"/>
          </w:tcPr>
          <w:p w14:paraId="5F06F58C" w14:textId="77777777" w:rsidR="00AD35AC" w:rsidRPr="00AD35AC" w:rsidRDefault="00AD35AC" w:rsidP="00EB14AD">
            <w:pPr>
              <w:rPr>
                <w:b/>
              </w:rPr>
            </w:pPr>
            <w:r w:rsidRPr="00AD35AC">
              <w:rPr>
                <w:b/>
              </w:rPr>
              <w:t>Y</w:t>
            </w:r>
          </w:p>
        </w:tc>
        <w:tc>
          <w:tcPr>
            <w:tcW w:w="1559" w:type="dxa"/>
            <w:gridSpan w:val="3"/>
            <w:shd w:val="clear" w:color="auto" w:fill="F2F2F2" w:themeFill="background1" w:themeFillShade="F2"/>
            <w:vAlign w:val="center"/>
          </w:tcPr>
          <w:p w14:paraId="2906D2EE" w14:textId="77777777" w:rsidR="00AD35AC" w:rsidRPr="00AD35AC" w:rsidRDefault="00AD35AC" w:rsidP="00EB14AD">
            <w:pPr>
              <w:rPr>
                <w:rFonts w:ascii="Century" w:hAnsi="Century"/>
              </w:rPr>
            </w:pPr>
            <w:r w:rsidRPr="00AD35AC">
              <w:rPr>
                <w:rFonts w:ascii="Century" w:hAnsi="Century" w:cs="Times New Roman"/>
              </w:rPr>
              <w:t>Requirements gathering</w:t>
            </w:r>
          </w:p>
        </w:tc>
        <w:tc>
          <w:tcPr>
            <w:tcW w:w="1795" w:type="dxa"/>
            <w:gridSpan w:val="3"/>
            <w:shd w:val="clear" w:color="auto" w:fill="FFFFFF" w:themeFill="background1"/>
          </w:tcPr>
          <w:p w14:paraId="05D6AA7D" w14:textId="77777777" w:rsidR="00AD35AC" w:rsidRPr="00AD35AC" w:rsidRDefault="00AD35AC" w:rsidP="00EB14AD">
            <w:pPr>
              <w:rPr>
                <w:rFonts w:ascii="Century" w:hAnsi="Century"/>
                <w:b/>
              </w:rPr>
            </w:pPr>
            <w:r w:rsidRPr="00AD35AC">
              <w:rPr>
                <w:rFonts w:ascii="Century" w:hAnsi="Century"/>
              </w:rPr>
              <w:t>Aug 2019</w:t>
            </w:r>
          </w:p>
        </w:tc>
        <w:tc>
          <w:tcPr>
            <w:tcW w:w="1891" w:type="dxa"/>
            <w:gridSpan w:val="3"/>
            <w:shd w:val="clear" w:color="auto" w:fill="FFFFFF" w:themeFill="background1"/>
          </w:tcPr>
          <w:p w14:paraId="17572F77" w14:textId="77777777" w:rsidR="00AD35AC" w:rsidRPr="00AD35AC" w:rsidRDefault="00AD35AC" w:rsidP="00EB14AD">
            <w:pPr>
              <w:rPr>
                <w:rFonts w:ascii="Century" w:hAnsi="Century"/>
              </w:rPr>
            </w:pPr>
            <w:r w:rsidRPr="00AD35AC">
              <w:rPr>
                <w:rFonts w:ascii="Century" w:hAnsi="Century"/>
              </w:rPr>
              <w:t>Aug 2019</w:t>
            </w:r>
          </w:p>
        </w:tc>
        <w:tc>
          <w:tcPr>
            <w:tcW w:w="1842" w:type="dxa"/>
            <w:shd w:val="clear" w:color="auto" w:fill="FFFFFF" w:themeFill="background1"/>
          </w:tcPr>
          <w:p w14:paraId="06C4A899" w14:textId="77777777" w:rsidR="00AD35AC" w:rsidRPr="00AD35AC" w:rsidRDefault="00AD35AC" w:rsidP="00EB14AD">
            <w:pPr>
              <w:rPr>
                <w:rFonts w:ascii="Century" w:hAnsi="Century"/>
              </w:rPr>
            </w:pPr>
            <w:r w:rsidRPr="00AD35AC">
              <w:rPr>
                <w:rFonts w:ascii="Century" w:hAnsi="Century"/>
              </w:rPr>
              <w:t>Aug 2019</w:t>
            </w:r>
          </w:p>
        </w:tc>
      </w:tr>
      <w:tr w:rsidR="00AD35AC" w:rsidRPr="00AD35AC" w14:paraId="5A2BBCD8" w14:textId="77777777" w:rsidTr="00AD35AC">
        <w:trPr>
          <w:trHeight w:val="353"/>
        </w:trPr>
        <w:tc>
          <w:tcPr>
            <w:tcW w:w="1413" w:type="dxa"/>
            <w:shd w:val="clear" w:color="auto" w:fill="FFFFFF" w:themeFill="background1"/>
          </w:tcPr>
          <w:p w14:paraId="1981942F" w14:textId="77777777" w:rsidR="00AD35AC" w:rsidRPr="00AD35AC" w:rsidRDefault="00AD35AC" w:rsidP="00EB14AD">
            <w:pPr>
              <w:rPr>
                <w:b/>
              </w:rPr>
            </w:pPr>
            <w:r w:rsidRPr="00AD35AC">
              <w:rPr>
                <w:b/>
              </w:rPr>
              <w:t>Y</w:t>
            </w:r>
          </w:p>
        </w:tc>
        <w:tc>
          <w:tcPr>
            <w:tcW w:w="1559" w:type="dxa"/>
            <w:gridSpan w:val="3"/>
            <w:shd w:val="clear" w:color="auto" w:fill="F2F2F2" w:themeFill="background1" w:themeFillShade="F2"/>
            <w:vAlign w:val="center"/>
          </w:tcPr>
          <w:p w14:paraId="1B1E9104" w14:textId="77777777" w:rsidR="00AD35AC" w:rsidRPr="00AD35AC" w:rsidRDefault="00AD35AC" w:rsidP="00EB14AD">
            <w:pPr>
              <w:rPr>
                <w:rFonts w:ascii="Century" w:hAnsi="Century"/>
              </w:rPr>
            </w:pPr>
            <w:r w:rsidRPr="00AD35AC">
              <w:rPr>
                <w:rFonts w:ascii="Century" w:hAnsi="Century" w:cs="Times New Roman"/>
              </w:rPr>
              <w:t>Draft development</w:t>
            </w:r>
          </w:p>
        </w:tc>
        <w:tc>
          <w:tcPr>
            <w:tcW w:w="1795" w:type="dxa"/>
            <w:gridSpan w:val="3"/>
            <w:shd w:val="clear" w:color="auto" w:fill="FFFFFF" w:themeFill="background1"/>
          </w:tcPr>
          <w:p w14:paraId="7EADF3EE" w14:textId="77777777" w:rsidR="00AD35AC" w:rsidRPr="00AD35AC" w:rsidRDefault="00AD35AC" w:rsidP="00EB14AD">
            <w:pPr>
              <w:rPr>
                <w:rFonts w:ascii="Century" w:hAnsi="Century"/>
                <w:b/>
              </w:rPr>
            </w:pPr>
            <w:r w:rsidRPr="00AD35AC">
              <w:rPr>
                <w:rFonts w:ascii="Century" w:hAnsi="Century"/>
              </w:rPr>
              <w:t>Oct 2019</w:t>
            </w:r>
          </w:p>
        </w:tc>
        <w:tc>
          <w:tcPr>
            <w:tcW w:w="1891" w:type="dxa"/>
            <w:gridSpan w:val="3"/>
            <w:shd w:val="clear" w:color="auto" w:fill="FFFFFF" w:themeFill="background1"/>
          </w:tcPr>
          <w:p w14:paraId="7273FB7A" w14:textId="77777777" w:rsidR="00AD35AC" w:rsidRPr="00AD35AC" w:rsidRDefault="00AD35AC" w:rsidP="00EB14AD">
            <w:pPr>
              <w:rPr>
                <w:rFonts w:ascii="Century" w:hAnsi="Century"/>
              </w:rPr>
            </w:pPr>
            <w:r w:rsidRPr="00AD35AC">
              <w:rPr>
                <w:rFonts w:ascii="Century" w:hAnsi="Century"/>
              </w:rPr>
              <w:t>Oct 2019</w:t>
            </w:r>
          </w:p>
        </w:tc>
        <w:tc>
          <w:tcPr>
            <w:tcW w:w="1842" w:type="dxa"/>
            <w:shd w:val="clear" w:color="auto" w:fill="FFFFFF" w:themeFill="background1"/>
          </w:tcPr>
          <w:p w14:paraId="668367A3" w14:textId="77777777" w:rsidR="00AD35AC" w:rsidRPr="00AD35AC" w:rsidRDefault="00AD35AC" w:rsidP="00EB14AD">
            <w:pPr>
              <w:rPr>
                <w:rFonts w:ascii="Century" w:hAnsi="Century"/>
              </w:rPr>
            </w:pPr>
            <w:r w:rsidRPr="00AD35AC">
              <w:rPr>
                <w:rFonts w:ascii="Century" w:hAnsi="Century"/>
              </w:rPr>
              <w:t>Oct 2019</w:t>
            </w:r>
          </w:p>
        </w:tc>
      </w:tr>
      <w:tr w:rsidR="00AD35AC" w:rsidRPr="00AD35AC" w14:paraId="5FB4ED5B" w14:textId="77777777" w:rsidTr="00AD35AC">
        <w:trPr>
          <w:trHeight w:val="353"/>
        </w:trPr>
        <w:tc>
          <w:tcPr>
            <w:tcW w:w="1413" w:type="dxa"/>
            <w:shd w:val="clear" w:color="auto" w:fill="FFFFFF" w:themeFill="background1"/>
          </w:tcPr>
          <w:p w14:paraId="5AF88222" w14:textId="77777777" w:rsidR="00AD35AC" w:rsidRPr="00AD35AC" w:rsidRDefault="00AD35AC" w:rsidP="00EB14AD">
            <w:pPr>
              <w:rPr>
                <w:b/>
              </w:rPr>
            </w:pPr>
            <w:r w:rsidRPr="00AD35AC">
              <w:rPr>
                <w:b/>
              </w:rPr>
              <w:t>Y</w:t>
            </w:r>
          </w:p>
        </w:tc>
        <w:tc>
          <w:tcPr>
            <w:tcW w:w="1559" w:type="dxa"/>
            <w:gridSpan w:val="3"/>
            <w:shd w:val="clear" w:color="auto" w:fill="F2F2F2" w:themeFill="background1" w:themeFillShade="F2"/>
            <w:vAlign w:val="center"/>
          </w:tcPr>
          <w:p w14:paraId="0AA54020" w14:textId="77777777" w:rsidR="00AD35AC" w:rsidRPr="00AD35AC" w:rsidRDefault="00AD35AC" w:rsidP="00EB14AD">
            <w:pPr>
              <w:rPr>
                <w:rFonts w:ascii="Century" w:hAnsi="Century" w:cs="Times New Roman"/>
              </w:rPr>
            </w:pPr>
            <w:r w:rsidRPr="00AD35AC">
              <w:rPr>
                <w:rFonts w:ascii="Century" w:hAnsi="Century" w:cs="Times New Roman"/>
              </w:rPr>
              <w:t>Implementation verification</w:t>
            </w:r>
          </w:p>
        </w:tc>
        <w:tc>
          <w:tcPr>
            <w:tcW w:w="1795" w:type="dxa"/>
            <w:gridSpan w:val="3"/>
            <w:shd w:val="clear" w:color="auto" w:fill="FFFFFF" w:themeFill="background1"/>
          </w:tcPr>
          <w:p w14:paraId="0099C313" w14:textId="77777777" w:rsidR="00AD35AC" w:rsidRPr="00AD35AC" w:rsidRDefault="00AD35AC" w:rsidP="00EB14AD">
            <w:pPr>
              <w:rPr>
                <w:rFonts w:ascii="Century" w:hAnsi="Century"/>
              </w:rPr>
            </w:pPr>
            <w:r w:rsidRPr="00AD35AC">
              <w:rPr>
                <w:rFonts w:ascii="Century" w:hAnsi="Century"/>
              </w:rPr>
              <w:t>Nov 2019</w:t>
            </w:r>
          </w:p>
        </w:tc>
        <w:tc>
          <w:tcPr>
            <w:tcW w:w="1891" w:type="dxa"/>
            <w:gridSpan w:val="3"/>
            <w:shd w:val="clear" w:color="auto" w:fill="FFFFFF" w:themeFill="background1"/>
          </w:tcPr>
          <w:p w14:paraId="25DD7344" w14:textId="77777777" w:rsidR="00AD35AC" w:rsidRPr="00AD35AC" w:rsidRDefault="00AD35AC" w:rsidP="00EB14AD">
            <w:pPr>
              <w:rPr>
                <w:rFonts w:ascii="Century" w:hAnsi="Century"/>
              </w:rPr>
            </w:pPr>
            <w:r w:rsidRPr="00AD35AC">
              <w:rPr>
                <w:rFonts w:ascii="Century" w:hAnsi="Century"/>
              </w:rPr>
              <w:t>Nov 2019</w:t>
            </w:r>
          </w:p>
        </w:tc>
        <w:tc>
          <w:tcPr>
            <w:tcW w:w="1842" w:type="dxa"/>
            <w:shd w:val="clear" w:color="auto" w:fill="FFFFFF" w:themeFill="background1"/>
          </w:tcPr>
          <w:p w14:paraId="3B9BB67F" w14:textId="77777777" w:rsidR="00AD35AC" w:rsidRPr="00AD35AC" w:rsidRDefault="00AD35AC" w:rsidP="00EB14AD">
            <w:pPr>
              <w:rPr>
                <w:rFonts w:ascii="Century" w:hAnsi="Century"/>
              </w:rPr>
            </w:pPr>
            <w:r w:rsidRPr="00AD35AC">
              <w:rPr>
                <w:rFonts w:ascii="Century" w:hAnsi="Century"/>
              </w:rPr>
              <w:t>Nov 2019</w:t>
            </w:r>
          </w:p>
        </w:tc>
      </w:tr>
      <w:tr w:rsidR="00AD35AC" w:rsidRPr="00AD35AC" w14:paraId="50789683" w14:textId="77777777" w:rsidTr="00AD35AC">
        <w:trPr>
          <w:trHeight w:val="353"/>
        </w:trPr>
        <w:tc>
          <w:tcPr>
            <w:tcW w:w="1413" w:type="dxa"/>
            <w:shd w:val="clear" w:color="auto" w:fill="FFFFFF" w:themeFill="background1"/>
          </w:tcPr>
          <w:p w14:paraId="3B029BAB" w14:textId="77777777" w:rsidR="00AD35AC" w:rsidRPr="00AD35AC" w:rsidRDefault="00AD35AC" w:rsidP="00EB14AD">
            <w:pPr>
              <w:rPr>
                <w:b/>
              </w:rPr>
            </w:pPr>
            <w:r w:rsidRPr="00AD35AC">
              <w:rPr>
                <w:b/>
              </w:rPr>
              <w:t>Y</w:t>
            </w:r>
          </w:p>
        </w:tc>
        <w:tc>
          <w:tcPr>
            <w:tcW w:w="1559" w:type="dxa"/>
            <w:gridSpan w:val="3"/>
            <w:shd w:val="clear" w:color="auto" w:fill="F2F2F2" w:themeFill="background1" w:themeFillShade="F2"/>
            <w:vAlign w:val="center"/>
          </w:tcPr>
          <w:p w14:paraId="6E1AC044" w14:textId="77777777" w:rsidR="00AD35AC" w:rsidRPr="00AD35AC" w:rsidRDefault="00AD35AC" w:rsidP="00EB14AD">
            <w:pPr>
              <w:rPr>
                <w:rFonts w:ascii="Century" w:hAnsi="Century"/>
              </w:rPr>
            </w:pPr>
            <w:r w:rsidRPr="00AD35AC">
              <w:rPr>
                <w:rFonts w:ascii="Century" w:hAnsi="Century" w:cs="Times New Roman"/>
              </w:rPr>
              <w:t>Public Draft Review</w:t>
            </w:r>
          </w:p>
        </w:tc>
        <w:tc>
          <w:tcPr>
            <w:tcW w:w="1795" w:type="dxa"/>
            <w:gridSpan w:val="3"/>
            <w:shd w:val="clear" w:color="auto" w:fill="FFFFFF" w:themeFill="background1"/>
          </w:tcPr>
          <w:p w14:paraId="134EE60B" w14:textId="77777777" w:rsidR="00AD35AC" w:rsidRPr="00AD35AC" w:rsidRDefault="00AD35AC" w:rsidP="00EB14AD">
            <w:pPr>
              <w:rPr>
                <w:rFonts w:ascii="Century" w:hAnsi="Century"/>
                <w:b/>
              </w:rPr>
            </w:pPr>
            <w:r w:rsidRPr="00AD35AC">
              <w:rPr>
                <w:rFonts w:ascii="Century" w:hAnsi="Century"/>
              </w:rPr>
              <w:t>Dec 2019</w:t>
            </w:r>
          </w:p>
        </w:tc>
        <w:tc>
          <w:tcPr>
            <w:tcW w:w="1891" w:type="dxa"/>
            <w:gridSpan w:val="3"/>
            <w:shd w:val="clear" w:color="auto" w:fill="FFFFFF" w:themeFill="background1"/>
          </w:tcPr>
          <w:p w14:paraId="54DBF8DB" w14:textId="77777777" w:rsidR="00AD35AC" w:rsidRPr="00AD35AC" w:rsidRDefault="00AD35AC" w:rsidP="00EB14AD">
            <w:pPr>
              <w:rPr>
                <w:rFonts w:ascii="Century" w:hAnsi="Century"/>
              </w:rPr>
            </w:pPr>
            <w:r w:rsidRPr="00AD35AC">
              <w:rPr>
                <w:rFonts w:ascii="Century" w:hAnsi="Century"/>
              </w:rPr>
              <w:t>Dec 2019</w:t>
            </w:r>
          </w:p>
        </w:tc>
        <w:tc>
          <w:tcPr>
            <w:tcW w:w="1842" w:type="dxa"/>
            <w:shd w:val="clear" w:color="auto" w:fill="FFFFFF" w:themeFill="background1"/>
          </w:tcPr>
          <w:p w14:paraId="15E6C0A1" w14:textId="77777777" w:rsidR="00AD35AC" w:rsidRPr="00AD35AC" w:rsidRDefault="00AD35AC" w:rsidP="00EB14AD">
            <w:pPr>
              <w:rPr>
                <w:rFonts w:ascii="Century" w:hAnsi="Century"/>
              </w:rPr>
            </w:pPr>
            <w:r w:rsidRPr="00AD35AC">
              <w:rPr>
                <w:rFonts w:ascii="Century" w:hAnsi="Century"/>
              </w:rPr>
              <w:t>Dec 2019</w:t>
            </w:r>
          </w:p>
        </w:tc>
      </w:tr>
      <w:tr w:rsidR="00AD35AC" w:rsidRPr="00AD35AC" w14:paraId="0BE6B09F" w14:textId="77777777" w:rsidTr="00AD35AC">
        <w:trPr>
          <w:trHeight w:val="353"/>
        </w:trPr>
        <w:tc>
          <w:tcPr>
            <w:tcW w:w="1413" w:type="dxa"/>
            <w:shd w:val="clear" w:color="auto" w:fill="FFFFFF" w:themeFill="background1"/>
          </w:tcPr>
          <w:p w14:paraId="3D32F801" w14:textId="77777777" w:rsidR="00AD35AC" w:rsidRPr="00AD35AC" w:rsidRDefault="00AD35AC" w:rsidP="00EB14AD">
            <w:pPr>
              <w:rPr>
                <w:b/>
              </w:rPr>
            </w:pPr>
            <w:r w:rsidRPr="00AD35AC">
              <w:rPr>
                <w:b/>
              </w:rPr>
              <w:t>Y</w:t>
            </w:r>
          </w:p>
        </w:tc>
        <w:tc>
          <w:tcPr>
            <w:tcW w:w="1559" w:type="dxa"/>
            <w:gridSpan w:val="3"/>
            <w:shd w:val="clear" w:color="auto" w:fill="F2F2F2" w:themeFill="background1" w:themeFillShade="F2"/>
            <w:vAlign w:val="center"/>
          </w:tcPr>
          <w:p w14:paraId="67612516" w14:textId="77777777" w:rsidR="00AD35AC" w:rsidRPr="00AD35AC" w:rsidRDefault="00AD35AC" w:rsidP="00EB14AD">
            <w:pPr>
              <w:rPr>
                <w:rFonts w:ascii="Century" w:hAnsi="Century"/>
              </w:rPr>
            </w:pPr>
            <w:r w:rsidRPr="00AD35AC">
              <w:rPr>
                <w:rFonts w:ascii="Century" w:hAnsi="Century" w:cs="Times New Roman"/>
              </w:rPr>
              <w:t>Exit &amp; Publication</w:t>
            </w:r>
          </w:p>
        </w:tc>
        <w:tc>
          <w:tcPr>
            <w:tcW w:w="1795" w:type="dxa"/>
            <w:gridSpan w:val="3"/>
            <w:shd w:val="clear" w:color="auto" w:fill="FFFFFF" w:themeFill="background1"/>
          </w:tcPr>
          <w:p w14:paraId="14D8BE52" w14:textId="77777777" w:rsidR="00AD35AC" w:rsidRPr="00AD35AC" w:rsidRDefault="00AD35AC" w:rsidP="00EB14AD">
            <w:pPr>
              <w:rPr>
                <w:rFonts w:ascii="Century" w:hAnsi="Century"/>
                <w:b/>
              </w:rPr>
            </w:pPr>
            <w:r w:rsidRPr="00AD35AC">
              <w:rPr>
                <w:rFonts w:ascii="Century" w:hAnsi="Century"/>
              </w:rPr>
              <w:t>Feb 2020</w:t>
            </w:r>
          </w:p>
        </w:tc>
        <w:tc>
          <w:tcPr>
            <w:tcW w:w="1891" w:type="dxa"/>
            <w:gridSpan w:val="3"/>
            <w:shd w:val="clear" w:color="auto" w:fill="FFFFFF" w:themeFill="background1"/>
          </w:tcPr>
          <w:p w14:paraId="5A0A16E5" w14:textId="77777777" w:rsidR="00AD35AC" w:rsidRPr="00AD35AC" w:rsidRDefault="00AD35AC" w:rsidP="00EB14AD">
            <w:pPr>
              <w:rPr>
                <w:rFonts w:ascii="Century" w:hAnsi="Century"/>
              </w:rPr>
            </w:pPr>
            <w:r w:rsidRPr="00AD35AC">
              <w:rPr>
                <w:rFonts w:ascii="Century" w:hAnsi="Century"/>
              </w:rPr>
              <w:t>Feb 2020</w:t>
            </w:r>
          </w:p>
        </w:tc>
        <w:tc>
          <w:tcPr>
            <w:tcW w:w="1842" w:type="dxa"/>
            <w:shd w:val="clear" w:color="auto" w:fill="FFFFFF" w:themeFill="background1"/>
          </w:tcPr>
          <w:p w14:paraId="501D377E" w14:textId="77777777" w:rsidR="00AD35AC" w:rsidRPr="00AD35AC" w:rsidRDefault="00AD35AC" w:rsidP="00EB14AD">
            <w:pPr>
              <w:rPr>
                <w:rFonts w:ascii="Century" w:hAnsi="Century"/>
              </w:rPr>
            </w:pPr>
            <w:r w:rsidRPr="00AD35AC">
              <w:rPr>
                <w:rFonts w:ascii="Century" w:hAnsi="Century"/>
              </w:rPr>
              <w:t>Feb 2020</w:t>
            </w:r>
          </w:p>
        </w:tc>
      </w:tr>
    </w:tbl>
    <w:p w14:paraId="33D899E9" w14:textId="77777777" w:rsidR="00F900C0" w:rsidRPr="00F900C0" w:rsidRDefault="00F900C0" w:rsidP="00402E49">
      <w:pPr>
        <w:pStyle w:val="a4"/>
        <w:rPr>
          <w:rFonts w:hint="eastAsia"/>
          <w:sz w:val="22"/>
        </w:rPr>
      </w:pPr>
    </w:p>
    <w:sectPr w:rsidR="00F900C0" w:rsidRPr="00F900C0">
      <w:headerReference w:type="default" r:id="rId9"/>
      <w:footerReference w:type="default" r:id="rId1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EBFE53" w14:textId="77777777" w:rsidR="008F4D58" w:rsidRDefault="008F4D58" w:rsidP="00402E49">
      <w:r>
        <w:separator/>
      </w:r>
    </w:p>
  </w:endnote>
  <w:endnote w:type="continuationSeparator" w:id="0">
    <w:p w14:paraId="68A23326" w14:textId="77777777" w:rsidR="008F4D58" w:rsidRDefault="008F4D58" w:rsidP="00402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19943705"/>
      <w:docPartObj>
        <w:docPartGallery w:val="Page Numbers (Bottom of Page)"/>
        <w:docPartUnique/>
      </w:docPartObj>
    </w:sdtPr>
    <w:sdtContent>
      <w:p w14:paraId="0D9B3310" w14:textId="7D72EC8F" w:rsidR="00402E49" w:rsidRDefault="00402E49">
        <w:pPr>
          <w:pStyle w:val="a8"/>
          <w:jc w:val="center"/>
        </w:pPr>
        <w:r>
          <w:fldChar w:fldCharType="begin"/>
        </w:r>
        <w:r>
          <w:instrText>PAGE   \* MERGEFORMAT</w:instrText>
        </w:r>
        <w:r>
          <w:fldChar w:fldCharType="separate"/>
        </w:r>
        <w:r>
          <w:rPr>
            <w:lang w:val="ja-JP"/>
          </w:rPr>
          <w:t>2</w:t>
        </w:r>
        <w:r>
          <w:fldChar w:fldCharType="end"/>
        </w:r>
      </w:p>
    </w:sdtContent>
  </w:sdt>
  <w:p w14:paraId="5FC1C1CD" w14:textId="77777777" w:rsidR="00402E49" w:rsidRDefault="00402E4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BA61C0" w14:textId="77777777" w:rsidR="008F4D58" w:rsidRDefault="008F4D58" w:rsidP="00402E49">
      <w:r>
        <w:separator/>
      </w:r>
    </w:p>
  </w:footnote>
  <w:footnote w:type="continuationSeparator" w:id="0">
    <w:p w14:paraId="5A927EC9" w14:textId="77777777" w:rsidR="008F4D58" w:rsidRDefault="008F4D58" w:rsidP="00402E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CCDCDB" w14:textId="60B86D41" w:rsidR="00402E49" w:rsidRDefault="00402E49" w:rsidP="00233E4E">
    <w:pPr>
      <w:pStyle w:val="a6"/>
      <w:jc w:val="right"/>
    </w:pPr>
    <w:r>
      <w:rPr>
        <w:rFonts w:hint="eastAsia"/>
      </w:rPr>
      <w:t>国際連携</w:t>
    </w:r>
    <w:r w:rsidR="00233E4E">
      <w:rPr>
        <w:rFonts w:hint="eastAsia"/>
      </w:rPr>
      <w:t>2</w:t>
    </w:r>
    <w:r w:rsidR="00233E4E">
      <w:t>020-2-04</w:t>
    </w:r>
  </w:p>
  <w:p w14:paraId="78F56BC6" w14:textId="77777777" w:rsidR="00402E49" w:rsidRDefault="00402E49">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DE35FF"/>
    <w:multiLevelType w:val="hybridMultilevel"/>
    <w:tmpl w:val="48AEA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57591E"/>
    <w:multiLevelType w:val="hybridMultilevel"/>
    <w:tmpl w:val="42FE8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905727"/>
    <w:multiLevelType w:val="hybridMultilevel"/>
    <w:tmpl w:val="5DA62822"/>
    <w:lvl w:ilvl="0" w:tplc="040C0015">
      <w:start w:val="1"/>
      <w:numFmt w:val="upperLetter"/>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839164B"/>
    <w:multiLevelType w:val="hybridMultilevel"/>
    <w:tmpl w:val="A81CE33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CAB1BAB"/>
    <w:multiLevelType w:val="hybridMultilevel"/>
    <w:tmpl w:val="41C235A6"/>
    <w:lvl w:ilvl="0" w:tplc="C718577A">
      <w:start w:val="1"/>
      <w:numFmt w:val="bullet"/>
      <w:lvlText w:val=""/>
      <w:lvlJc w:val="left"/>
      <w:pPr>
        <w:ind w:left="420" w:hanging="420"/>
      </w:pPr>
      <w:rPr>
        <w:rFonts w:ascii="Symbol" w:eastAsiaTheme="minorEastAsia" w:hAnsi="Symbol"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D0E1DC0"/>
    <w:multiLevelType w:val="hybridMultilevel"/>
    <w:tmpl w:val="7F962AA2"/>
    <w:lvl w:ilvl="0" w:tplc="C718577A">
      <w:start w:val="1"/>
      <w:numFmt w:val="bullet"/>
      <w:lvlText w:val=""/>
      <w:lvlJc w:val="left"/>
      <w:pPr>
        <w:ind w:left="720" w:hanging="360"/>
      </w:pPr>
      <w:rPr>
        <w:rFonts w:ascii="Symbol" w:eastAsiaTheme="minorEastAsia"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F0A3A50"/>
    <w:multiLevelType w:val="hybridMultilevel"/>
    <w:tmpl w:val="8AC8AC1E"/>
    <w:lvl w:ilvl="0" w:tplc="4810E5D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FA750A9"/>
    <w:multiLevelType w:val="hybridMultilevel"/>
    <w:tmpl w:val="6D1C4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5D54827"/>
    <w:multiLevelType w:val="hybridMultilevel"/>
    <w:tmpl w:val="7CD2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8010074"/>
    <w:multiLevelType w:val="hybridMultilevel"/>
    <w:tmpl w:val="46581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D4A415F"/>
    <w:multiLevelType w:val="hybridMultilevel"/>
    <w:tmpl w:val="5BCAC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5"/>
  </w:num>
  <w:num w:numId="4">
    <w:abstractNumId w:val="6"/>
  </w:num>
  <w:num w:numId="5">
    <w:abstractNumId w:val="4"/>
  </w:num>
  <w:num w:numId="6">
    <w:abstractNumId w:val="9"/>
  </w:num>
  <w:num w:numId="7">
    <w:abstractNumId w:val="8"/>
  </w:num>
  <w:num w:numId="8">
    <w:abstractNumId w:val="0"/>
  </w:num>
  <w:num w:numId="9">
    <w:abstractNumId w:val="1"/>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1"/>
  <w:bordersDoNotSurroundHeader/>
  <w:bordersDoNotSurroundFooter/>
  <w:proofState w:spelling="clean" w:grammar="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00C0"/>
    <w:rsid w:val="001D7782"/>
    <w:rsid w:val="00233E4E"/>
    <w:rsid w:val="002B31B2"/>
    <w:rsid w:val="00402E49"/>
    <w:rsid w:val="004A1249"/>
    <w:rsid w:val="00785CBF"/>
    <w:rsid w:val="008F4D58"/>
    <w:rsid w:val="00AD35AC"/>
    <w:rsid w:val="00B870A5"/>
    <w:rsid w:val="00F900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AC139F9"/>
  <w15:chartTrackingRefBased/>
  <w15:docId w15:val="{9EC1F0EE-D902-4182-9BE4-B492281D6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00C0"/>
    <w:pPr>
      <w:widowControl/>
      <w:ind w:left="720"/>
      <w:contextualSpacing/>
      <w:jc w:val="left"/>
    </w:pPr>
    <w:rPr>
      <w:kern w:val="0"/>
      <w:sz w:val="22"/>
      <w:lang w:eastAsia="zh-CN"/>
    </w:rPr>
  </w:style>
  <w:style w:type="paragraph" w:styleId="a4">
    <w:name w:val="No Spacing"/>
    <w:uiPriority w:val="1"/>
    <w:qFormat/>
    <w:rsid w:val="00F900C0"/>
    <w:pPr>
      <w:widowControl w:val="0"/>
      <w:jc w:val="both"/>
    </w:pPr>
  </w:style>
  <w:style w:type="table" w:styleId="a5">
    <w:name w:val="Table Grid"/>
    <w:basedOn w:val="a1"/>
    <w:uiPriority w:val="39"/>
    <w:rsid w:val="00AD35AC"/>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02E49"/>
    <w:pPr>
      <w:tabs>
        <w:tab w:val="center" w:pos="4252"/>
        <w:tab w:val="right" w:pos="8504"/>
      </w:tabs>
      <w:snapToGrid w:val="0"/>
    </w:pPr>
  </w:style>
  <w:style w:type="character" w:customStyle="1" w:styleId="a7">
    <w:name w:val="ヘッダー (文字)"/>
    <w:basedOn w:val="a0"/>
    <w:link w:val="a6"/>
    <w:uiPriority w:val="99"/>
    <w:rsid w:val="00402E49"/>
  </w:style>
  <w:style w:type="paragraph" w:styleId="a8">
    <w:name w:val="footer"/>
    <w:basedOn w:val="a"/>
    <w:link w:val="a9"/>
    <w:uiPriority w:val="99"/>
    <w:unhideWhenUsed/>
    <w:rsid w:val="00402E49"/>
    <w:pPr>
      <w:tabs>
        <w:tab w:val="center" w:pos="4252"/>
        <w:tab w:val="right" w:pos="8504"/>
      </w:tabs>
      <w:snapToGrid w:val="0"/>
    </w:pPr>
  </w:style>
  <w:style w:type="character" w:customStyle="1" w:styleId="a9">
    <w:name w:val="フッター (文字)"/>
    <w:basedOn w:val="a0"/>
    <w:link w:val="a8"/>
    <w:uiPriority w:val="99"/>
    <w:rsid w:val="00402E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8</Pages>
  <Words>1287</Words>
  <Characters>7342</Characters>
  <Application>Microsoft Office Word</Application>
  <DocSecurity>0</DocSecurity>
  <Lines>61</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久直 菅又</dc:creator>
  <cp:keywords/>
  <dc:description/>
  <cp:lastModifiedBy>久直 菅又</cp:lastModifiedBy>
  <cp:revision>6</cp:revision>
  <dcterms:created xsi:type="dcterms:W3CDTF">2020-08-31T05:43:00Z</dcterms:created>
  <dcterms:modified xsi:type="dcterms:W3CDTF">2020-09-07T05:38:00Z</dcterms:modified>
</cp:coreProperties>
</file>