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D705E" w14:textId="10498FD3" w:rsidR="002B31B2" w:rsidRDefault="00367B56" w:rsidP="00367B56">
      <w:pPr>
        <w:jc w:val="center"/>
        <w:rPr>
          <w:b/>
          <w:bCs/>
          <w:sz w:val="28"/>
          <w:szCs w:val="28"/>
        </w:rPr>
      </w:pPr>
      <w:r>
        <w:rPr>
          <w:b/>
          <w:bCs/>
          <w:sz w:val="28"/>
          <w:szCs w:val="28"/>
        </w:rPr>
        <w:t>Contribution to Advance Circular Economy Actions</w:t>
      </w:r>
    </w:p>
    <w:p w14:paraId="711F414E" w14:textId="255E8A02" w:rsidR="00367B56" w:rsidRDefault="00367B56" w:rsidP="00367B56">
      <w:pPr>
        <w:jc w:val="right"/>
        <w:rPr>
          <w:b/>
          <w:bCs/>
          <w:sz w:val="22"/>
        </w:rPr>
      </w:pPr>
      <w:r w:rsidRPr="00367B56">
        <w:rPr>
          <w:rFonts w:hint="eastAsia"/>
          <w:b/>
          <w:bCs/>
          <w:sz w:val="22"/>
        </w:rPr>
        <w:t>2</w:t>
      </w:r>
      <w:r w:rsidRPr="00367B56">
        <w:rPr>
          <w:b/>
          <w:bCs/>
          <w:sz w:val="22"/>
        </w:rPr>
        <w:t>020</w:t>
      </w:r>
      <w:r w:rsidRPr="00367B56">
        <w:rPr>
          <w:rFonts w:hint="eastAsia"/>
          <w:b/>
          <w:bCs/>
          <w:sz w:val="22"/>
        </w:rPr>
        <w:t>年5月　国連C</w:t>
      </w:r>
      <w:r w:rsidRPr="00367B56">
        <w:rPr>
          <w:b/>
          <w:bCs/>
          <w:sz w:val="22"/>
        </w:rPr>
        <w:t>EFACT</w:t>
      </w:r>
      <w:r w:rsidRPr="00367B56">
        <w:rPr>
          <w:rFonts w:hint="eastAsia"/>
          <w:b/>
          <w:bCs/>
          <w:sz w:val="22"/>
        </w:rPr>
        <w:t>総会</w:t>
      </w:r>
    </w:p>
    <w:p w14:paraId="36E12A38" w14:textId="1FB3E37B" w:rsidR="00367B56" w:rsidRDefault="00367B56" w:rsidP="00367B56">
      <w:pPr>
        <w:jc w:val="left"/>
        <w:rPr>
          <w:rFonts w:ascii="Times New Roman" w:hAnsi="Times New Roman" w:cs="Times New Roman"/>
          <w:sz w:val="22"/>
        </w:rPr>
      </w:pPr>
      <w:r w:rsidRPr="00367B56">
        <w:rPr>
          <w:rFonts w:ascii="Times New Roman" w:hAnsi="Times New Roman" w:cs="Times New Roman"/>
          <w:sz w:val="22"/>
        </w:rPr>
        <w:t>This requires shifting from a linear to a circular economy</w:t>
      </w:r>
      <w:r>
        <w:rPr>
          <w:rFonts w:ascii="Times New Roman" w:hAnsi="Times New Roman" w:cs="Times New Roman"/>
          <w:sz w:val="22"/>
        </w:rPr>
        <w:t xml:space="preserve"> </w:t>
      </w:r>
      <w:r w:rsidRPr="00367B56">
        <w:rPr>
          <w:rFonts w:ascii="Times New Roman" w:hAnsi="Times New Roman" w:cs="Times New Roman"/>
          <w:sz w:val="22"/>
        </w:rPr>
        <w:t>a new and</w:t>
      </w:r>
      <w:r>
        <w:rPr>
          <w:rFonts w:ascii="Times New Roman" w:hAnsi="Times New Roman" w:cs="Times New Roman"/>
          <w:sz w:val="22"/>
        </w:rPr>
        <w:t xml:space="preserve"> </w:t>
      </w:r>
      <w:r w:rsidRPr="00367B56">
        <w:rPr>
          <w:rFonts w:ascii="Times New Roman" w:hAnsi="Times New Roman" w:cs="Times New Roman"/>
          <w:sz w:val="22"/>
        </w:rPr>
        <w:t>inclusive economic paradigm that minimizes pollution and waste, extends product</w:t>
      </w:r>
      <w:r>
        <w:rPr>
          <w:rFonts w:ascii="Times New Roman" w:hAnsi="Times New Roman" w:cs="Times New Roman"/>
          <w:sz w:val="22"/>
        </w:rPr>
        <w:t xml:space="preserve"> </w:t>
      </w:r>
      <w:r w:rsidRPr="00367B56">
        <w:rPr>
          <w:rFonts w:ascii="Times New Roman" w:hAnsi="Times New Roman" w:cs="Times New Roman"/>
          <w:sz w:val="22"/>
        </w:rPr>
        <w:t>lifecycles, enables broad sharing of physical and natural assets and keeps resource</w:t>
      </w:r>
      <w:r>
        <w:rPr>
          <w:rFonts w:ascii="Times New Roman" w:hAnsi="Times New Roman" w:cs="Times New Roman"/>
          <w:sz w:val="22"/>
        </w:rPr>
        <w:t xml:space="preserve"> </w:t>
      </w:r>
      <w:r w:rsidRPr="00367B56">
        <w:rPr>
          <w:rFonts w:ascii="Times New Roman" w:hAnsi="Times New Roman" w:cs="Times New Roman"/>
          <w:sz w:val="22"/>
        </w:rPr>
        <w:t>consumption within planetary boundaries.</w:t>
      </w:r>
    </w:p>
    <w:p w14:paraId="532AADC4" w14:textId="6151C235" w:rsidR="00367B56" w:rsidRDefault="00AF189D" w:rsidP="00AF189D">
      <w:r w:rsidRPr="00AF189D">
        <w:rPr>
          <w:rFonts w:hint="eastAsia"/>
        </w:rPr>
        <w:t>線形経済から循環経済へ、汚染と廃棄物を最小限に抑え、製品のライフサイクルを延長し、物理的および自然な資産の幅広い共有を可能にし、惑星の境界内でのリソース消費を維持する新しい包括的な経済パラダイムにシフトする必要があります。</w:t>
      </w:r>
    </w:p>
    <w:p w14:paraId="18944984" w14:textId="77777777" w:rsidR="00AF189D" w:rsidRPr="00AF189D" w:rsidRDefault="00AF189D" w:rsidP="00AF189D"/>
    <w:p w14:paraId="1D94D300" w14:textId="03BFC131" w:rsidR="00367B56" w:rsidRPr="00AF189D" w:rsidRDefault="00367B56" w:rsidP="00367B56">
      <w:pPr>
        <w:jc w:val="center"/>
        <w:rPr>
          <w:rFonts w:ascii="Times New Roman" w:hAnsi="Times New Roman" w:cs="Times New Roman"/>
          <w:sz w:val="28"/>
          <w:szCs w:val="28"/>
          <w:bdr w:val="single" w:sz="4" w:space="0" w:color="auto"/>
        </w:rPr>
      </w:pPr>
      <w:r w:rsidRPr="00AF189D">
        <w:rPr>
          <w:rFonts w:ascii="Times New Roman" w:hAnsi="Times New Roman" w:cs="Times New Roman"/>
          <w:sz w:val="28"/>
          <w:szCs w:val="28"/>
          <w:bdr w:val="single" w:sz="4" w:space="0" w:color="auto"/>
        </w:rPr>
        <w:t>key circular economy actions (CEAs)</w:t>
      </w:r>
    </w:p>
    <w:p w14:paraId="6E63396F" w14:textId="6F9F3FD9" w:rsidR="00367B56" w:rsidRDefault="00367B56" w:rsidP="00367B56">
      <w:pPr>
        <w:jc w:val="left"/>
        <w:rPr>
          <w:rFonts w:ascii="Times New Roman" w:hAnsi="Times New Roman" w:cs="Times New Roman"/>
          <w:sz w:val="22"/>
          <w:bdr w:val="single" w:sz="4" w:space="0" w:color="auto"/>
        </w:rPr>
      </w:pPr>
    </w:p>
    <w:p w14:paraId="4B6150A8" w14:textId="7750FFCE" w:rsidR="00367B56" w:rsidRPr="00D0621D" w:rsidRDefault="00A15499" w:rsidP="00367B56">
      <w:pPr>
        <w:jc w:val="left"/>
        <w:rPr>
          <w:rFonts w:ascii="Times New Roman" w:hAnsi="Times New Roman" w:cs="Times New Roman"/>
          <w:b/>
          <w:bCs/>
          <w:i/>
          <w:iCs/>
          <w:sz w:val="24"/>
          <w:szCs w:val="24"/>
        </w:rPr>
      </w:pPr>
      <w:r w:rsidRPr="00D0621D">
        <w:rPr>
          <w:rFonts w:ascii="Times New Roman" w:hAnsi="Times New Roman" w:cs="Times New Roman"/>
          <w:b/>
          <w:bCs/>
          <w:sz w:val="24"/>
          <w:szCs w:val="24"/>
        </w:rPr>
        <w:t xml:space="preserve">CEA1: </w:t>
      </w:r>
      <w:r w:rsidRPr="00D0621D">
        <w:rPr>
          <w:rFonts w:ascii="Times New Roman" w:hAnsi="Times New Roman" w:cs="Times New Roman"/>
          <w:b/>
          <w:bCs/>
          <w:i/>
          <w:iCs/>
          <w:sz w:val="24"/>
          <w:szCs w:val="24"/>
        </w:rPr>
        <w:t>Incentivize sustainable products and circular production processes</w:t>
      </w:r>
    </w:p>
    <w:p w14:paraId="351434F9" w14:textId="1652C8ED" w:rsidR="00AF189D" w:rsidRDefault="00AF189D" w:rsidP="00367B56">
      <w:pPr>
        <w:jc w:val="left"/>
      </w:pPr>
      <w:r w:rsidRPr="00AF189D">
        <w:rPr>
          <w:rFonts w:hint="eastAsia"/>
        </w:rPr>
        <w:t>政策、法律、基準の策定を通じて、持続可能な製品と循環生産プロセスを奨励し、それらを標準にする。</w:t>
      </w:r>
      <w:r w:rsidRPr="00AF189D">
        <w:t xml:space="preserve"> このような規制と政策の枠組みは、エコデザイン、循環型バリューチェーン、生産パターンの変革を強化し、そもそも廃棄物の発生を回避します。 これには、再利用性、修理可能性、リサイクル性の向上が必要であり、有害な化学物質の存在に対処する必要があります。 これには、デジタル化の可能性を活用して製品情報（デジタルパスポート、タグ付け、透かし、DNAマーカーなど）を追跡することが含まれます。 それには、持続可能なパフォ</w:t>
      </w:r>
      <w:r w:rsidRPr="00AF189D">
        <w:rPr>
          <w:rFonts w:hint="eastAsia"/>
        </w:rPr>
        <w:t>ーマンスに基づいて製品に報酬を与え、そのような製品の市場シェアを拡大することを目的としたインセンティブを通じて高いパフォーマンスレベルを促進することが含まれます。</w:t>
      </w:r>
    </w:p>
    <w:p w14:paraId="4DA99B00" w14:textId="77777777" w:rsidR="00AF189D" w:rsidRDefault="00AF189D" w:rsidP="00367B56">
      <w:pPr>
        <w:jc w:val="left"/>
      </w:pPr>
    </w:p>
    <w:p w14:paraId="75E2B3D1" w14:textId="6340F2A5" w:rsidR="00A15499" w:rsidRPr="00D0621D" w:rsidRDefault="00A15499" w:rsidP="00367B56">
      <w:pPr>
        <w:jc w:val="left"/>
        <w:rPr>
          <w:rFonts w:ascii="Times New Roman" w:hAnsi="Times New Roman" w:cs="Times New Roman"/>
          <w:b/>
          <w:bCs/>
          <w:i/>
          <w:iCs/>
          <w:sz w:val="24"/>
          <w:szCs w:val="24"/>
        </w:rPr>
      </w:pPr>
      <w:r w:rsidRPr="00D0621D">
        <w:rPr>
          <w:rFonts w:ascii="Times New Roman" w:hAnsi="Times New Roman" w:cs="Times New Roman"/>
          <w:b/>
          <w:bCs/>
          <w:sz w:val="24"/>
          <w:szCs w:val="24"/>
        </w:rPr>
        <w:t xml:space="preserve">CEA2: </w:t>
      </w:r>
      <w:r w:rsidRPr="00D0621D">
        <w:rPr>
          <w:rFonts w:ascii="Times New Roman" w:hAnsi="Times New Roman" w:cs="Times New Roman"/>
          <w:b/>
          <w:bCs/>
          <w:i/>
          <w:iCs/>
          <w:sz w:val="24"/>
          <w:szCs w:val="24"/>
        </w:rPr>
        <w:t>Empower consumers and public buyers to make informed choices</w:t>
      </w:r>
    </w:p>
    <w:p w14:paraId="5A245B88" w14:textId="536C505D" w:rsidR="00A15499" w:rsidRDefault="00AF189D" w:rsidP="00AF189D">
      <w:r w:rsidRPr="00AF189D">
        <w:rPr>
          <w:rFonts w:hint="eastAsia"/>
        </w:rPr>
        <w:t>消費者と公共バイヤーが情報に基づいた選択を行えるようにして、信頼できる情報を提供し、責任ある購入を選択できるようにします。</w:t>
      </w:r>
      <w:r w:rsidRPr="00AF189D">
        <w:t xml:space="preserve"> 環境のパフォーマンスや中核的な労働基準の遵守など、その構成と耐久性、修理可能性、リサイクル可能性の最低基準</w:t>
      </w:r>
      <w:r w:rsidR="00BB6A21" w:rsidRPr="00AF189D">
        <w:t>製品の寿命に関する情報に関連しています</w:t>
      </w:r>
      <w:r w:rsidRPr="00AF189D">
        <w:t>。 これらには、グリーンウォッシュを回避するためのチェックとバランスを備えた、</w:t>
      </w:r>
      <w:r w:rsidR="00BB6A21">
        <w:rPr>
          <w:rFonts w:hint="eastAsia"/>
        </w:rPr>
        <w:t>標識化</w:t>
      </w:r>
      <w:r w:rsidRPr="00AF189D">
        <w:t>のためのポリシーと規制のフレームワークが追加されています。 また、環境に配慮した社会的責任のある公共および企業の調達慣行を推進す</w:t>
      </w:r>
      <w:r w:rsidRPr="00AF189D">
        <w:rPr>
          <w:rFonts w:hint="eastAsia"/>
        </w:rPr>
        <w:t>ることも含まれます。これは、持続可能で循環型の製品に対する需要を高めるための強力な推進力として役立ちます（たとえば、目標の設定、パフォーマンスと評価の基準、および実装の監視を通じて）。</w:t>
      </w:r>
    </w:p>
    <w:p w14:paraId="7D53E41C" w14:textId="16630EB2" w:rsidR="00BB6A21" w:rsidRDefault="00BB6A21" w:rsidP="00AF189D"/>
    <w:p w14:paraId="71377457" w14:textId="77777777" w:rsidR="00BB6A21" w:rsidRPr="00A15499" w:rsidRDefault="00BB6A21" w:rsidP="00AF189D"/>
    <w:p w14:paraId="6A4E65E8" w14:textId="769D3353" w:rsidR="00A15499" w:rsidRPr="00D0621D" w:rsidRDefault="00A15499" w:rsidP="00367B56">
      <w:pPr>
        <w:jc w:val="left"/>
        <w:rPr>
          <w:rFonts w:ascii="Times New Roman" w:hAnsi="Times New Roman" w:cs="Times New Roman"/>
          <w:b/>
          <w:bCs/>
          <w:i/>
          <w:iCs/>
          <w:sz w:val="24"/>
          <w:szCs w:val="24"/>
        </w:rPr>
      </w:pPr>
      <w:r w:rsidRPr="00D0621D">
        <w:rPr>
          <w:rFonts w:ascii="Times New Roman" w:hAnsi="Times New Roman" w:cs="Times New Roman"/>
          <w:b/>
          <w:bCs/>
          <w:sz w:val="24"/>
          <w:szCs w:val="24"/>
        </w:rPr>
        <w:lastRenderedPageBreak/>
        <w:t xml:space="preserve">CEA3: </w:t>
      </w:r>
      <w:r w:rsidRPr="00D0621D">
        <w:rPr>
          <w:rFonts w:ascii="Times New Roman" w:hAnsi="Times New Roman" w:cs="Times New Roman"/>
          <w:b/>
          <w:bCs/>
          <w:i/>
          <w:iCs/>
          <w:sz w:val="24"/>
          <w:szCs w:val="24"/>
        </w:rPr>
        <w:t>Reduce waste and create a market of high value secondary raw materials</w:t>
      </w:r>
    </w:p>
    <w:p w14:paraId="07C6F81C" w14:textId="618ACCFE" w:rsidR="00A15499" w:rsidRDefault="00BB6A21" w:rsidP="00BB6A21">
      <w:r w:rsidRPr="00BB6A21">
        <w:rPr>
          <w:rFonts w:hint="eastAsia"/>
        </w:rPr>
        <w:t>廃棄物を減らし、高価値の二次原料の市場を作ります。</w:t>
      </w:r>
      <w:r w:rsidRPr="00BB6A21">
        <w:t xml:space="preserve"> これには、法律の近代化、特定の目標の採用、バリューチェーンに沿った廃棄物の防止と最小化、リサイクルコンテンツの増加、高品質のリサイクルを保証するサポート基準の採用が含まれます。 また、有害物質を効果的に分類および追跡するシステムを開発して、毒性のない環境での循環性を高めるために、業界関係者との協力も必要になります。 製品のリサイクル含有量の要件は、二次原料の需要と供給のミスマッチを防ぐのに役立ち、二次原料の市場の拡大を促進します。 国境を越えた移動と廃棄物</w:t>
      </w:r>
      <w:r w:rsidRPr="00BB6A21">
        <w:rPr>
          <w:rFonts w:hint="eastAsia"/>
        </w:rPr>
        <w:t>の輸送に関する規則と基準は、環境と健康への有害な影響を防ぐのに役立ちます。</w:t>
      </w:r>
    </w:p>
    <w:p w14:paraId="24E72163" w14:textId="77777777" w:rsidR="00BB6A21" w:rsidRDefault="00BB6A21" w:rsidP="00BB6A21"/>
    <w:p w14:paraId="7852F519" w14:textId="533DE9F9" w:rsidR="00A15499" w:rsidRPr="00D0621D" w:rsidRDefault="00A15499" w:rsidP="00BB6A21">
      <w:pPr>
        <w:rPr>
          <w:rFonts w:ascii="Times New Roman" w:hAnsi="Times New Roman" w:cs="Times New Roman"/>
          <w:b/>
          <w:bCs/>
          <w:i/>
          <w:iCs/>
          <w:sz w:val="24"/>
          <w:szCs w:val="24"/>
        </w:rPr>
      </w:pPr>
      <w:r w:rsidRPr="00D0621D">
        <w:rPr>
          <w:rFonts w:ascii="Times New Roman" w:hAnsi="Times New Roman" w:cs="Times New Roman"/>
          <w:b/>
          <w:bCs/>
          <w:i/>
          <w:iCs/>
          <w:sz w:val="24"/>
          <w:szCs w:val="24"/>
        </w:rPr>
        <w:t>CEA4: Advance circularity in production processes with a focus on priority sectors</w:t>
      </w:r>
    </w:p>
    <w:p w14:paraId="0945D598" w14:textId="7C7D1407" w:rsidR="00A15499" w:rsidRDefault="00BB6A21" w:rsidP="00BB6A21">
      <w:r w:rsidRPr="00BB6A21">
        <w:rPr>
          <w:rFonts w:hint="eastAsia"/>
        </w:rPr>
        <w:t>優先度の高いセクターに重点を置いて生産プロセスの循環を推進し、特に資源集約的で循環の可能性が高いセクターを変換します。農業食品、繊維、建設と建物、パッケージング、プラスチック、水と栄養素、</w:t>
      </w:r>
      <w:r w:rsidRPr="00BB6A21">
        <w:t>ITと電子機器。 これには、バリューチェーン全体にわたって持続可能性と循環性の要件を導入する方法、およびサービスの再利用、修復、共有へのアクセスを強化する方法の調査が含まれます。 このためには、循環性要件の遵守を検証し、有害物質の使用を含む材料の追跡および追跡のための高度な技術の可能性を活用するための認証基準を提案すること</w:t>
      </w:r>
      <w:r w:rsidRPr="00BB6A21">
        <w:rPr>
          <w:rFonts w:hint="eastAsia"/>
        </w:rPr>
        <w:t>が不可欠です。</w:t>
      </w:r>
      <w:r w:rsidRPr="00BB6A21">
        <w:t xml:space="preserve"> 重要なバリューチェーンの利害関係者は、循環型製品の市場拡大に対する障壁と、優先セクターにおけるそれらの障壁に対処する方法を特定するために関与する必要があります。</w:t>
      </w:r>
    </w:p>
    <w:p w14:paraId="65764FB2" w14:textId="77777777" w:rsidR="00BB6A21" w:rsidRPr="00A15499" w:rsidRDefault="00BB6A21" w:rsidP="00BB6A21"/>
    <w:p w14:paraId="7C7E2A5C" w14:textId="2A6EA282" w:rsidR="00A15499" w:rsidRPr="00D0621D" w:rsidRDefault="00A15499" w:rsidP="00367B56">
      <w:pPr>
        <w:jc w:val="left"/>
        <w:rPr>
          <w:rFonts w:ascii="Times New Roman" w:hAnsi="Times New Roman" w:cs="Times New Roman"/>
          <w:b/>
          <w:bCs/>
          <w:i/>
          <w:iCs/>
          <w:sz w:val="24"/>
          <w:szCs w:val="24"/>
        </w:rPr>
      </w:pPr>
      <w:r w:rsidRPr="00D0621D">
        <w:rPr>
          <w:rFonts w:ascii="Times New Roman" w:hAnsi="Times New Roman" w:cs="Times New Roman"/>
          <w:b/>
          <w:bCs/>
          <w:sz w:val="24"/>
          <w:szCs w:val="24"/>
        </w:rPr>
        <w:t xml:space="preserve">CEA5: </w:t>
      </w:r>
      <w:r w:rsidRPr="00D0621D">
        <w:rPr>
          <w:rFonts w:ascii="Times New Roman" w:hAnsi="Times New Roman" w:cs="Times New Roman"/>
          <w:b/>
          <w:bCs/>
          <w:i/>
          <w:iCs/>
          <w:sz w:val="24"/>
          <w:szCs w:val="24"/>
        </w:rPr>
        <w:t>Ensure that the circular economy contributes to social inclusion through skills and job creation, and economic instruments for cities and territories</w:t>
      </w:r>
    </w:p>
    <w:p w14:paraId="715D13A4" w14:textId="2BBB3B94" w:rsidR="00A15499" w:rsidRDefault="00191649" w:rsidP="00191649">
      <w:r w:rsidRPr="00191649">
        <w:rPr>
          <w:rFonts w:hint="eastAsia"/>
        </w:rPr>
        <w:t>循環型経済がスキルと雇用創出、そして都市や地域のための経済的手段を通じて社会的包摂に貢献することを保証する。</w:t>
      </w:r>
      <w:r w:rsidRPr="00191649">
        <w:t xml:space="preserve"> スキルの創出と向上は、循環型経済が新しい環境に配慮した雇用を創出するための鍵です。 意識を高め、協力と能力開発を確実にすることは、不利な立場にあるグループが公正な移行から利益を得ることができることを確実にすることの中心でもあります。 経済を正しくするために、埋め立てや焼却税などの環境税など、最終消費者を対象とする適切に設計された経済的手段の幅広い適用も、循環型経済活動、特に修理と共有経済サービスを促</w:t>
      </w:r>
      <w:r w:rsidRPr="00191649">
        <w:rPr>
          <w:rFonts w:hint="eastAsia"/>
        </w:rPr>
        <w:t>進するために考慮されるべきです。</w:t>
      </w:r>
    </w:p>
    <w:p w14:paraId="48E9752E" w14:textId="6F06E794" w:rsidR="00191649" w:rsidRDefault="00191649" w:rsidP="00191649"/>
    <w:p w14:paraId="76EF15D1" w14:textId="0A38E874" w:rsidR="00191649" w:rsidRDefault="004C11F6" w:rsidP="00191649">
      <w:r>
        <w:rPr>
          <w:rFonts w:hint="eastAsia"/>
        </w:rPr>
        <w:t>＊注釈：</w:t>
      </w:r>
      <w:r>
        <w:rPr>
          <w:rFonts w:ascii="Arial" w:hAnsi="Arial" w:cs="Arial"/>
          <w:color w:val="000000"/>
          <w:szCs w:val="21"/>
          <w:shd w:val="clear" w:color="auto" w:fill="FFFFFF"/>
        </w:rPr>
        <w:t>社会的</w:t>
      </w:r>
      <w:r>
        <w:rPr>
          <w:rFonts w:ascii="Arial" w:hAnsi="Arial" w:cs="Arial"/>
          <w:b/>
          <w:bCs/>
          <w:color w:val="000000"/>
          <w:szCs w:val="21"/>
          <w:shd w:val="clear" w:color="auto" w:fill="FFFFFF"/>
        </w:rPr>
        <w:t>包摂</w:t>
      </w:r>
      <w:r>
        <w:rPr>
          <w:rFonts w:ascii="Arial" w:hAnsi="Arial" w:cs="Arial"/>
          <w:color w:val="000000"/>
          <w:szCs w:val="21"/>
          <w:shd w:val="clear" w:color="auto" w:fill="FFFFFF"/>
        </w:rPr>
        <w:t>（しゃかいてきほうせつ）あるいはソーシャル・インクルージョン（英</w:t>
      </w:r>
      <w:r>
        <w:rPr>
          <w:rFonts w:ascii="Arial" w:hAnsi="Arial" w:cs="Arial"/>
          <w:color w:val="000000"/>
          <w:szCs w:val="21"/>
          <w:shd w:val="clear" w:color="auto" w:fill="FFFFFF"/>
        </w:rPr>
        <w:t>: social inclusion</w:t>
      </w:r>
      <w:r>
        <w:rPr>
          <w:rFonts w:ascii="Arial" w:hAnsi="Arial" w:cs="Arial"/>
          <w:color w:val="000000"/>
          <w:szCs w:val="21"/>
          <w:shd w:val="clear" w:color="auto" w:fill="FFFFFF"/>
        </w:rPr>
        <w:t>）とは、社会的に弱い立場にある人々をも含め市民ひとりひとり、排除や摩擦、</w:t>
      </w:r>
      <w:r>
        <w:rPr>
          <w:rFonts w:ascii="Arial" w:hAnsi="Arial" w:cs="Arial"/>
          <w:color w:val="000000"/>
          <w:szCs w:val="21"/>
          <w:shd w:val="clear" w:color="auto" w:fill="FFFFFF"/>
        </w:rPr>
        <w:t xml:space="preserve"> </w:t>
      </w:r>
      <w:r>
        <w:rPr>
          <w:rFonts w:ascii="Arial" w:hAnsi="Arial" w:cs="Arial"/>
          <w:color w:val="000000"/>
          <w:szCs w:val="21"/>
          <w:shd w:val="clear" w:color="auto" w:fill="FFFFFF"/>
        </w:rPr>
        <w:t>孤独や孤立から援護し、社会（地域社会）の一員として取り込み、支え合う考え方</w:t>
      </w:r>
    </w:p>
    <w:p w14:paraId="1E7BC022" w14:textId="0C8699B1" w:rsidR="00191649" w:rsidRDefault="00191649" w:rsidP="00191649"/>
    <w:p w14:paraId="22C2DDC4" w14:textId="28C2601A" w:rsidR="00191649" w:rsidRDefault="00191649" w:rsidP="00191649"/>
    <w:p w14:paraId="6DC1AA3C" w14:textId="0B911BBB" w:rsidR="00A15499" w:rsidRPr="00D0621D" w:rsidRDefault="00A15499" w:rsidP="00367B56">
      <w:pPr>
        <w:jc w:val="left"/>
        <w:rPr>
          <w:rFonts w:ascii="Times New Roman" w:hAnsi="Times New Roman" w:cs="Times New Roman"/>
          <w:b/>
          <w:bCs/>
          <w:i/>
          <w:iCs/>
          <w:sz w:val="24"/>
          <w:szCs w:val="24"/>
        </w:rPr>
      </w:pPr>
      <w:r w:rsidRPr="00D0621D">
        <w:rPr>
          <w:rFonts w:ascii="Times New Roman" w:hAnsi="Times New Roman" w:cs="Times New Roman"/>
          <w:b/>
          <w:bCs/>
          <w:i/>
          <w:sz w:val="24"/>
          <w:szCs w:val="24"/>
        </w:rPr>
        <w:lastRenderedPageBreak/>
        <w:t xml:space="preserve">CEA6: </w:t>
      </w:r>
      <w:r w:rsidRPr="00D0621D">
        <w:rPr>
          <w:rFonts w:ascii="Times New Roman" w:hAnsi="Times New Roman" w:cs="Times New Roman"/>
          <w:b/>
          <w:bCs/>
          <w:i/>
          <w:iCs/>
          <w:sz w:val="24"/>
          <w:szCs w:val="24"/>
        </w:rPr>
        <w:t>Sustain policy, normative and capacity-building efforts to advance the circular economy at national, regional and global levels</w:t>
      </w:r>
    </w:p>
    <w:p w14:paraId="58E18C28" w14:textId="214983CB" w:rsidR="00A15499" w:rsidRPr="00A15499" w:rsidRDefault="00191649" w:rsidP="00191649">
      <w:r w:rsidRPr="00191649">
        <w:rPr>
          <w:rFonts w:hint="eastAsia"/>
        </w:rPr>
        <w:t>協調的な取り組みと経験の共有を通じて</w:t>
      </w:r>
      <w:r w:rsidR="004C11F6">
        <w:rPr>
          <w:rFonts w:hint="eastAsia"/>
        </w:rPr>
        <w:t>革新</w:t>
      </w:r>
      <w:r w:rsidRPr="00191649">
        <w:rPr>
          <w:rFonts w:hint="eastAsia"/>
        </w:rPr>
        <w:t>的な変化を支援するために、国、地域、世界レベルで循環経済を前進させるための政策、規範的および能力構築努力を維持する。</w:t>
      </w:r>
      <w:r w:rsidRPr="00191649">
        <w:t xml:space="preserve"> 政策立案者は、新興市場を規制する方法と公共政策の懸念のバランスをとる方法（たとえば、公正な競争、消費者の安全と労働基準）に関する多くの新しい選択に直面します。 循環経済への移行にはかなりの移行コストが伴う可能性があり、必要な民間投資、公的投資、および混合投資を動員して経済活動によって引き起こされる害が認識され、それらに反映されるようにするための政策、規</w:t>
      </w:r>
      <w:r w:rsidRPr="00191649">
        <w:rPr>
          <w:rFonts w:hint="eastAsia"/>
        </w:rPr>
        <w:t>制、基準、および財政措置の適切な組み合わせが必要です。</w:t>
      </w:r>
      <w:r w:rsidRPr="00191649">
        <w:t>この発見のプロセスを可能にするために、政策立案者、起業家、投資家、市民社会は、機会、課題、ボトルネックを理解するために、継続的でマルチレベルの対話に従事する必要があります。</w:t>
      </w:r>
    </w:p>
    <w:p w14:paraId="7DB5DAD8" w14:textId="71D55C32" w:rsidR="00891868" w:rsidRDefault="00891868">
      <w:pPr>
        <w:widowControl/>
        <w:jc w:val="left"/>
        <w:rPr>
          <w:bdr w:val="single" w:sz="4" w:space="0" w:color="auto"/>
        </w:rPr>
      </w:pPr>
      <w:r>
        <w:rPr>
          <w:bdr w:val="single" w:sz="4" w:space="0" w:color="auto"/>
        </w:rPr>
        <w:br w:type="page"/>
      </w:r>
    </w:p>
    <w:p w14:paraId="213EE067" w14:textId="63C2B326" w:rsidR="00A15499" w:rsidRDefault="00891868" w:rsidP="00191649">
      <w:pPr>
        <w:rPr>
          <w:bdr w:val="single" w:sz="4" w:space="0" w:color="auto"/>
        </w:rPr>
      </w:pPr>
      <w:r w:rsidRPr="00891868">
        <w:rPr>
          <w:noProof/>
        </w:rPr>
        <w:lastRenderedPageBreak/>
        <w:drawing>
          <wp:inline distT="0" distB="0" distL="0" distR="0" wp14:anchorId="36670DA4" wp14:editId="1E7E0B6F">
            <wp:extent cx="5400040" cy="814006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8140065"/>
                    </a:xfrm>
                    <a:prstGeom prst="rect">
                      <a:avLst/>
                    </a:prstGeom>
                    <a:noFill/>
                    <a:ln>
                      <a:noFill/>
                    </a:ln>
                  </pic:spPr>
                </pic:pic>
              </a:graphicData>
            </a:graphic>
          </wp:inline>
        </w:drawing>
      </w:r>
    </w:p>
    <w:p w14:paraId="3F5FB543" w14:textId="56768F49" w:rsidR="00CF6D73" w:rsidRPr="00CF6D73" w:rsidRDefault="00CF6D73" w:rsidP="00CF6D73">
      <w:pPr>
        <w:jc w:val="center"/>
        <w:rPr>
          <w:b/>
          <w:bCs/>
          <w:sz w:val="28"/>
          <w:szCs w:val="28"/>
        </w:rPr>
      </w:pPr>
      <w:r w:rsidRPr="00CF6D73">
        <w:rPr>
          <w:rFonts w:hint="eastAsia"/>
          <w:b/>
          <w:bCs/>
          <w:sz w:val="28"/>
          <w:szCs w:val="28"/>
        </w:rPr>
        <w:lastRenderedPageBreak/>
        <w:t>I</w:t>
      </w:r>
      <w:r w:rsidRPr="00CF6D73">
        <w:rPr>
          <w:b/>
          <w:bCs/>
          <w:sz w:val="28"/>
          <w:szCs w:val="28"/>
        </w:rPr>
        <w:t>SO Program</w:t>
      </w:r>
    </w:p>
    <w:p w14:paraId="13EB5AC4" w14:textId="01516BE4" w:rsidR="00CF6D73" w:rsidRPr="00CF6D73" w:rsidRDefault="00CF6D73" w:rsidP="00CF6D73">
      <w:pPr>
        <w:autoSpaceDE w:val="0"/>
        <w:autoSpaceDN w:val="0"/>
        <w:adjustRightInd w:val="0"/>
        <w:jc w:val="left"/>
        <w:rPr>
          <w:rFonts w:ascii="Arial" w:hAnsi="Arial" w:cs="Arial"/>
          <w:kern w:val="0"/>
          <w:sz w:val="24"/>
          <w:szCs w:val="24"/>
        </w:rPr>
      </w:pPr>
    </w:p>
    <w:p w14:paraId="1D63BC2A" w14:textId="7FB3B827" w:rsidR="00CF6D73" w:rsidRDefault="00CF6D73" w:rsidP="00CF6D73">
      <w:pPr>
        <w:jc w:val="center"/>
        <w:rPr>
          <w:rFonts w:ascii="Arial" w:hAnsi="Arial" w:cs="Arial"/>
          <w:kern w:val="0"/>
          <w:sz w:val="32"/>
          <w:szCs w:val="32"/>
        </w:rPr>
      </w:pPr>
      <w:r w:rsidRPr="00CF6D73">
        <w:rPr>
          <w:rFonts w:ascii="Arial" w:hAnsi="Arial" w:cs="Arial"/>
          <w:kern w:val="0"/>
          <w:sz w:val="32"/>
          <w:szCs w:val="32"/>
        </w:rPr>
        <w:t xml:space="preserve"> Sustainable cities campaign</w:t>
      </w:r>
    </w:p>
    <w:p w14:paraId="24392AE7" w14:textId="77777777" w:rsidR="00CF6D73" w:rsidRPr="00CF6D73" w:rsidRDefault="00CF6D73" w:rsidP="00CF6D73">
      <w:pPr>
        <w:autoSpaceDE w:val="0"/>
        <w:autoSpaceDN w:val="0"/>
        <w:adjustRightInd w:val="0"/>
        <w:jc w:val="left"/>
        <w:rPr>
          <w:rFonts w:ascii="Arial" w:hAnsi="Arial" w:cs="Arial"/>
          <w:kern w:val="0"/>
          <w:sz w:val="24"/>
          <w:szCs w:val="24"/>
        </w:rPr>
      </w:pPr>
    </w:p>
    <w:p w14:paraId="2CACB578" w14:textId="37A2DD64" w:rsidR="00CF6D73" w:rsidRPr="00CF6D73" w:rsidRDefault="00CF6D73" w:rsidP="00CF6D73">
      <w:pPr>
        <w:jc w:val="center"/>
        <w:rPr>
          <w:rFonts w:ascii="Arial" w:hAnsi="Arial" w:cs="Arial"/>
          <w:kern w:val="0"/>
          <w:sz w:val="24"/>
          <w:szCs w:val="24"/>
        </w:rPr>
      </w:pPr>
      <w:r w:rsidRPr="00CF6D73">
        <w:rPr>
          <w:rFonts w:ascii="Arial" w:hAnsi="Arial" w:cs="Arial"/>
          <w:kern w:val="0"/>
          <w:sz w:val="24"/>
          <w:szCs w:val="24"/>
        </w:rPr>
        <w:t>7 July to 14 October</w:t>
      </w:r>
    </w:p>
    <w:p w14:paraId="0A0C76AD" w14:textId="77777777" w:rsidR="00CF6D73" w:rsidRPr="00CF6D73" w:rsidRDefault="00CF6D73" w:rsidP="00CF6D73">
      <w:pPr>
        <w:autoSpaceDE w:val="0"/>
        <w:autoSpaceDN w:val="0"/>
        <w:adjustRightInd w:val="0"/>
        <w:jc w:val="left"/>
        <w:rPr>
          <w:rFonts w:ascii="Arial" w:hAnsi="Arial" w:cs="Arial"/>
          <w:kern w:val="0"/>
          <w:sz w:val="24"/>
          <w:szCs w:val="24"/>
        </w:rPr>
      </w:pPr>
    </w:p>
    <w:p w14:paraId="1B3184D8" w14:textId="6FA32E2C" w:rsidR="00CF6D73" w:rsidRPr="00CF6D73" w:rsidRDefault="00CF6D73" w:rsidP="00CF6D73">
      <w:pPr>
        <w:autoSpaceDE w:val="0"/>
        <w:autoSpaceDN w:val="0"/>
        <w:adjustRightInd w:val="0"/>
        <w:jc w:val="left"/>
        <w:rPr>
          <w:rFonts w:ascii="Arial" w:hAnsi="Arial" w:cs="Arial"/>
          <w:kern w:val="0"/>
          <w:sz w:val="24"/>
          <w:szCs w:val="24"/>
        </w:rPr>
      </w:pPr>
      <w:r>
        <w:rPr>
          <w:rFonts w:ascii="Arial" w:hAnsi="Arial" w:cs="Arial" w:hint="eastAsia"/>
          <w:kern w:val="0"/>
          <w:sz w:val="24"/>
          <w:szCs w:val="24"/>
        </w:rPr>
        <w:t>O</w:t>
      </w:r>
      <w:r>
        <w:rPr>
          <w:rFonts w:ascii="Arial" w:hAnsi="Arial" w:cs="Arial"/>
          <w:kern w:val="0"/>
          <w:sz w:val="24"/>
          <w:szCs w:val="24"/>
        </w:rPr>
        <w:t>bjective:</w:t>
      </w:r>
    </w:p>
    <w:p w14:paraId="55C21C92" w14:textId="622F49C4" w:rsidR="00CF6D73" w:rsidRDefault="00CF6D73" w:rsidP="00CF6D73">
      <w:pPr>
        <w:autoSpaceDE w:val="0"/>
        <w:autoSpaceDN w:val="0"/>
        <w:adjustRightInd w:val="0"/>
        <w:jc w:val="left"/>
        <w:rPr>
          <w:rFonts w:ascii="Arial" w:hAnsi="Arial" w:cs="Arial"/>
          <w:kern w:val="0"/>
          <w:sz w:val="24"/>
          <w:szCs w:val="24"/>
        </w:rPr>
      </w:pPr>
      <w:r w:rsidRPr="00CF6D73">
        <w:rPr>
          <w:rFonts w:ascii="Arial" w:hAnsi="Arial" w:cs="Arial"/>
          <w:kern w:val="0"/>
          <w:sz w:val="24"/>
          <w:szCs w:val="24"/>
        </w:rPr>
        <w:t>Show how International Standards can help cities and communities to become more sustainable and resilient</w:t>
      </w:r>
    </w:p>
    <w:p w14:paraId="332061D2" w14:textId="77777777" w:rsidR="00CF6D73" w:rsidRPr="00CF6D73" w:rsidRDefault="00CF6D73" w:rsidP="00CF6D73">
      <w:pPr>
        <w:autoSpaceDE w:val="0"/>
        <w:autoSpaceDN w:val="0"/>
        <w:adjustRightInd w:val="0"/>
        <w:jc w:val="left"/>
        <w:rPr>
          <w:rFonts w:ascii="Arial" w:hAnsi="Arial" w:cs="Arial"/>
          <w:kern w:val="0"/>
          <w:sz w:val="28"/>
          <w:szCs w:val="28"/>
        </w:rPr>
      </w:pPr>
    </w:p>
    <w:p w14:paraId="7C558CE0" w14:textId="04E882FD" w:rsidR="00CF6D73" w:rsidRPr="00CF6D73" w:rsidRDefault="00CF6D73" w:rsidP="00CF6D73">
      <w:pPr>
        <w:autoSpaceDE w:val="0"/>
        <w:autoSpaceDN w:val="0"/>
        <w:adjustRightInd w:val="0"/>
        <w:jc w:val="left"/>
        <w:rPr>
          <w:rFonts w:ascii="Arial" w:hAnsi="Arial" w:cs="Arial"/>
          <w:kern w:val="0"/>
          <w:sz w:val="24"/>
          <w:szCs w:val="24"/>
        </w:rPr>
      </w:pPr>
      <w:r>
        <w:rPr>
          <w:rFonts w:ascii="Arial" w:hAnsi="Arial" w:cs="Arial"/>
          <w:kern w:val="0"/>
          <w:sz w:val="24"/>
          <w:szCs w:val="24"/>
        </w:rPr>
        <w:t>Hashtag:</w:t>
      </w:r>
    </w:p>
    <w:p w14:paraId="2528C694" w14:textId="66F5E94B" w:rsidR="00CF6D73" w:rsidRDefault="00CF6D73" w:rsidP="00CF6D73">
      <w:pPr>
        <w:autoSpaceDE w:val="0"/>
        <w:autoSpaceDN w:val="0"/>
        <w:adjustRightInd w:val="0"/>
        <w:jc w:val="left"/>
        <w:rPr>
          <w:rFonts w:ascii="Arial" w:hAnsi="Arial" w:cs="Arial"/>
          <w:kern w:val="0"/>
          <w:sz w:val="28"/>
          <w:szCs w:val="28"/>
        </w:rPr>
      </w:pPr>
      <w:r w:rsidRPr="00CF6D73">
        <w:rPr>
          <w:rFonts w:ascii="Arial" w:hAnsi="Arial" w:cs="Arial"/>
          <w:kern w:val="0"/>
          <w:sz w:val="28"/>
          <w:szCs w:val="28"/>
        </w:rPr>
        <w:t xml:space="preserve"> #standardsdaycountdown</w:t>
      </w:r>
    </w:p>
    <w:p w14:paraId="0303C3BB" w14:textId="42789C79" w:rsidR="00CF6D73" w:rsidRDefault="00CF6D73" w:rsidP="00CF6D73">
      <w:pPr>
        <w:autoSpaceDE w:val="0"/>
        <w:autoSpaceDN w:val="0"/>
        <w:adjustRightInd w:val="0"/>
        <w:jc w:val="left"/>
        <w:rPr>
          <w:rFonts w:ascii="Arial" w:hAnsi="Arial" w:cs="Arial"/>
          <w:kern w:val="0"/>
          <w:sz w:val="28"/>
          <w:szCs w:val="28"/>
        </w:rPr>
      </w:pPr>
    </w:p>
    <w:p w14:paraId="2B89878F" w14:textId="77777777" w:rsidR="00CF6D73" w:rsidRPr="00CF6D73" w:rsidRDefault="00CF6D73" w:rsidP="00CF6D73">
      <w:pPr>
        <w:autoSpaceDE w:val="0"/>
        <w:autoSpaceDN w:val="0"/>
        <w:adjustRightInd w:val="0"/>
        <w:jc w:val="left"/>
        <w:rPr>
          <w:rFonts w:ascii="Arial" w:hAnsi="Arial" w:cs="Arial"/>
          <w:color w:val="000000"/>
          <w:kern w:val="0"/>
          <w:sz w:val="24"/>
          <w:szCs w:val="24"/>
        </w:rPr>
      </w:pPr>
    </w:p>
    <w:p w14:paraId="562249CC" w14:textId="1DB0E77D" w:rsidR="00CF6D73" w:rsidRPr="00CF6D73" w:rsidRDefault="00CF6D73" w:rsidP="00CF6D73">
      <w:pPr>
        <w:autoSpaceDE w:val="0"/>
        <w:autoSpaceDN w:val="0"/>
        <w:adjustRightInd w:val="0"/>
        <w:jc w:val="left"/>
        <w:rPr>
          <w:rFonts w:ascii="Arial" w:hAnsi="Arial" w:cs="Arial"/>
          <w:kern w:val="0"/>
          <w:sz w:val="24"/>
          <w:szCs w:val="24"/>
        </w:rPr>
      </w:pPr>
      <w:r w:rsidRPr="00CF6D73">
        <w:rPr>
          <w:rFonts w:ascii="Arial" w:hAnsi="Arial" w:cs="Arial"/>
          <w:kern w:val="0"/>
          <w:sz w:val="24"/>
          <w:szCs w:val="24"/>
        </w:rPr>
        <w:t>Key messages</w:t>
      </w:r>
      <w:r>
        <w:rPr>
          <w:rFonts w:ascii="Arial" w:hAnsi="Arial" w:cs="Arial"/>
          <w:kern w:val="0"/>
          <w:sz w:val="24"/>
          <w:szCs w:val="24"/>
        </w:rPr>
        <w:t>:</w:t>
      </w:r>
    </w:p>
    <w:p w14:paraId="7C75F092" w14:textId="77777777" w:rsidR="00CF6D73" w:rsidRPr="00CF6D73" w:rsidRDefault="00CF6D73" w:rsidP="00CF6D73">
      <w:pPr>
        <w:autoSpaceDE w:val="0"/>
        <w:autoSpaceDN w:val="0"/>
        <w:adjustRightInd w:val="0"/>
        <w:spacing w:after="17"/>
        <w:jc w:val="left"/>
        <w:rPr>
          <w:rFonts w:ascii="Arial" w:hAnsi="Arial" w:cs="Arial"/>
          <w:kern w:val="0"/>
          <w:sz w:val="24"/>
          <w:szCs w:val="24"/>
        </w:rPr>
      </w:pPr>
      <w:r w:rsidRPr="00CF6D73">
        <w:rPr>
          <w:rFonts w:ascii="Arial" w:hAnsi="Arial" w:cs="Arial"/>
          <w:kern w:val="0"/>
          <w:sz w:val="24"/>
          <w:szCs w:val="24"/>
        </w:rPr>
        <w:t>•Our standards can help your city meet its sustainability goals. They:</w:t>
      </w:r>
    </w:p>
    <w:p w14:paraId="539B0C98" w14:textId="26AD6FD7" w:rsidR="00CF6D73" w:rsidRPr="00CF6D73" w:rsidRDefault="00CF6D73" w:rsidP="00CF6D73">
      <w:pPr>
        <w:autoSpaceDE w:val="0"/>
        <w:autoSpaceDN w:val="0"/>
        <w:adjustRightInd w:val="0"/>
        <w:spacing w:after="17"/>
        <w:ind w:leftChars="300" w:left="630"/>
        <w:jc w:val="left"/>
        <w:rPr>
          <w:rFonts w:ascii="Arial" w:hAnsi="Arial" w:cs="Arial"/>
          <w:kern w:val="0"/>
          <w:sz w:val="24"/>
          <w:szCs w:val="24"/>
        </w:rPr>
      </w:pPr>
      <w:r w:rsidRPr="00CF6D73">
        <w:rPr>
          <w:rFonts w:ascii="Arial" w:hAnsi="Arial" w:cs="Arial"/>
          <w:kern w:val="0"/>
          <w:sz w:val="24"/>
          <w:szCs w:val="24"/>
        </w:rPr>
        <w:t>-Promote</w:t>
      </w:r>
      <w:r>
        <w:rPr>
          <w:rFonts w:ascii="Arial" w:hAnsi="Arial" w:cs="Arial"/>
          <w:kern w:val="0"/>
          <w:sz w:val="24"/>
          <w:szCs w:val="24"/>
        </w:rPr>
        <w:t xml:space="preserve"> </w:t>
      </w:r>
      <w:r w:rsidRPr="00CF6D73">
        <w:rPr>
          <w:rFonts w:ascii="Arial" w:hAnsi="Arial" w:cs="Arial"/>
          <w:b/>
          <w:bCs/>
          <w:kern w:val="0"/>
          <w:sz w:val="24"/>
          <w:szCs w:val="24"/>
        </w:rPr>
        <w:t>better quality of life</w:t>
      </w:r>
      <w:r w:rsidRPr="00CF6D73">
        <w:rPr>
          <w:rFonts w:ascii="Arial" w:hAnsi="Arial" w:cs="Arial"/>
          <w:kern w:val="0"/>
          <w:sz w:val="24"/>
          <w:szCs w:val="24"/>
        </w:rPr>
        <w:t>(health and wellbeing, social cohesion, accessibility)</w:t>
      </w:r>
    </w:p>
    <w:p w14:paraId="7E3F1149" w14:textId="66A8653E" w:rsidR="00CF6D73" w:rsidRPr="00CF6D73" w:rsidRDefault="00CF6D73" w:rsidP="00CF6D73">
      <w:pPr>
        <w:autoSpaceDE w:val="0"/>
        <w:autoSpaceDN w:val="0"/>
        <w:adjustRightInd w:val="0"/>
        <w:spacing w:after="17"/>
        <w:ind w:leftChars="300" w:left="630"/>
        <w:jc w:val="left"/>
        <w:rPr>
          <w:rFonts w:ascii="Arial" w:hAnsi="Arial" w:cs="Arial"/>
          <w:kern w:val="0"/>
          <w:sz w:val="24"/>
          <w:szCs w:val="24"/>
        </w:rPr>
      </w:pPr>
      <w:r w:rsidRPr="00CF6D73">
        <w:rPr>
          <w:rFonts w:ascii="Arial" w:hAnsi="Arial" w:cs="Arial"/>
          <w:kern w:val="0"/>
          <w:sz w:val="24"/>
          <w:szCs w:val="24"/>
        </w:rPr>
        <w:t>-Support</w:t>
      </w:r>
      <w:r>
        <w:rPr>
          <w:rFonts w:ascii="Arial" w:hAnsi="Arial" w:cs="Arial"/>
          <w:kern w:val="0"/>
          <w:sz w:val="24"/>
          <w:szCs w:val="24"/>
        </w:rPr>
        <w:t xml:space="preserve"> </w:t>
      </w:r>
      <w:r w:rsidRPr="00CF6D73">
        <w:rPr>
          <w:rFonts w:ascii="Arial" w:hAnsi="Arial" w:cs="Arial"/>
          <w:b/>
          <w:bCs/>
          <w:kern w:val="0"/>
          <w:sz w:val="24"/>
          <w:szCs w:val="24"/>
        </w:rPr>
        <w:t>the economy</w:t>
      </w:r>
      <w:r w:rsidRPr="00CF6D73">
        <w:rPr>
          <w:rFonts w:ascii="Arial" w:hAnsi="Arial" w:cs="Arial"/>
          <w:kern w:val="0"/>
          <w:sz w:val="24"/>
          <w:szCs w:val="24"/>
        </w:rPr>
        <w:t>(post-covidrecovery, attract local tourism, reduce costs, best practice, support regulation, facilitate trade)</w:t>
      </w:r>
    </w:p>
    <w:p w14:paraId="54871734" w14:textId="126C40D8" w:rsidR="00CF6D73" w:rsidRPr="00CF6D73" w:rsidRDefault="00CF6D73" w:rsidP="00CF6D73">
      <w:pPr>
        <w:autoSpaceDE w:val="0"/>
        <w:autoSpaceDN w:val="0"/>
        <w:adjustRightInd w:val="0"/>
        <w:spacing w:after="17"/>
        <w:ind w:leftChars="300" w:left="630"/>
        <w:jc w:val="left"/>
        <w:rPr>
          <w:rFonts w:ascii="Arial" w:hAnsi="Arial" w:cs="Arial"/>
          <w:kern w:val="0"/>
          <w:sz w:val="24"/>
          <w:szCs w:val="24"/>
        </w:rPr>
      </w:pPr>
      <w:r w:rsidRPr="00CF6D73">
        <w:rPr>
          <w:rFonts w:ascii="Arial" w:hAnsi="Arial" w:cs="Arial"/>
          <w:kern w:val="0"/>
          <w:sz w:val="24"/>
          <w:szCs w:val="24"/>
        </w:rPr>
        <w:t>-Enable</w:t>
      </w:r>
      <w:r>
        <w:rPr>
          <w:rFonts w:ascii="Arial" w:hAnsi="Arial" w:cs="Arial"/>
          <w:kern w:val="0"/>
          <w:sz w:val="24"/>
          <w:szCs w:val="24"/>
        </w:rPr>
        <w:t xml:space="preserve"> </w:t>
      </w:r>
      <w:r w:rsidRPr="00CF6D73">
        <w:rPr>
          <w:rFonts w:ascii="Arial" w:hAnsi="Arial" w:cs="Arial"/>
          <w:b/>
          <w:bCs/>
          <w:kern w:val="0"/>
          <w:sz w:val="24"/>
          <w:szCs w:val="24"/>
        </w:rPr>
        <w:t>resilience</w:t>
      </w:r>
      <w:r w:rsidRPr="00CF6D73">
        <w:rPr>
          <w:rFonts w:ascii="Arial" w:hAnsi="Arial" w:cs="Arial"/>
          <w:kern w:val="0"/>
          <w:sz w:val="24"/>
          <w:szCs w:val="24"/>
        </w:rPr>
        <w:t>(safety, strengthen</w:t>
      </w:r>
      <w:r>
        <w:rPr>
          <w:rFonts w:ascii="Arial" w:hAnsi="Arial" w:cs="Arial"/>
          <w:kern w:val="0"/>
          <w:sz w:val="24"/>
          <w:szCs w:val="24"/>
        </w:rPr>
        <w:t xml:space="preserve"> </w:t>
      </w:r>
      <w:r w:rsidRPr="00CF6D73">
        <w:rPr>
          <w:rFonts w:ascii="Arial" w:hAnsi="Arial" w:cs="Arial"/>
          <w:kern w:val="0"/>
          <w:sz w:val="24"/>
          <w:szCs w:val="24"/>
        </w:rPr>
        <w:t>community</w:t>
      </w:r>
      <w:r>
        <w:rPr>
          <w:rFonts w:ascii="Arial" w:hAnsi="Arial" w:cs="Arial"/>
          <w:kern w:val="0"/>
          <w:sz w:val="24"/>
          <w:szCs w:val="24"/>
        </w:rPr>
        <w:t xml:space="preserve"> </w:t>
      </w:r>
      <w:r w:rsidRPr="00CF6D73">
        <w:rPr>
          <w:rFonts w:ascii="Arial" w:hAnsi="Arial" w:cs="Arial"/>
          <w:kern w:val="0"/>
          <w:sz w:val="24"/>
          <w:szCs w:val="24"/>
        </w:rPr>
        <w:t>systems</w:t>
      </w:r>
      <w:r>
        <w:rPr>
          <w:rFonts w:ascii="Arial" w:hAnsi="Arial" w:cs="Arial"/>
          <w:kern w:val="0"/>
          <w:sz w:val="24"/>
          <w:szCs w:val="24"/>
        </w:rPr>
        <w:t xml:space="preserve"> </w:t>
      </w:r>
      <w:r w:rsidRPr="00CF6D73">
        <w:rPr>
          <w:rFonts w:ascii="Arial" w:hAnsi="Arial" w:cs="Arial"/>
          <w:kern w:val="0"/>
          <w:sz w:val="24"/>
          <w:szCs w:val="24"/>
        </w:rPr>
        <w:t>like health, be</w:t>
      </w:r>
      <w:r>
        <w:rPr>
          <w:rFonts w:ascii="Arial" w:hAnsi="Arial" w:cs="Arial"/>
          <w:kern w:val="0"/>
          <w:sz w:val="24"/>
          <w:szCs w:val="24"/>
        </w:rPr>
        <w:t xml:space="preserve"> </w:t>
      </w:r>
      <w:r w:rsidRPr="00CF6D73">
        <w:rPr>
          <w:rFonts w:ascii="Arial" w:hAnsi="Arial" w:cs="Arial"/>
          <w:kern w:val="0"/>
          <w:sz w:val="24"/>
          <w:szCs w:val="24"/>
        </w:rPr>
        <w:t>better</w:t>
      </w:r>
      <w:r>
        <w:rPr>
          <w:rFonts w:ascii="Arial" w:hAnsi="Arial" w:cs="Arial"/>
          <w:kern w:val="0"/>
          <w:sz w:val="24"/>
          <w:szCs w:val="24"/>
        </w:rPr>
        <w:t xml:space="preserve"> </w:t>
      </w:r>
      <w:r w:rsidRPr="00CF6D73">
        <w:rPr>
          <w:rFonts w:ascii="Arial" w:hAnsi="Arial" w:cs="Arial"/>
          <w:kern w:val="0"/>
          <w:sz w:val="24"/>
          <w:szCs w:val="24"/>
        </w:rPr>
        <w:t>prepared</w:t>
      </w:r>
      <w:r>
        <w:rPr>
          <w:rFonts w:ascii="Arial" w:hAnsi="Arial" w:cs="Arial"/>
          <w:kern w:val="0"/>
          <w:sz w:val="24"/>
          <w:szCs w:val="24"/>
        </w:rPr>
        <w:t xml:space="preserve"> </w:t>
      </w:r>
      <w:r w:rsidRPr="00CF6D73">
        <w:rPr>
          <w:rFonts w:ascii="Arial" w:hAnsi="Arial" w:cs="Arial"/>
          <w:kern w:val="0"/>
          <w:sz w:val="24"/>
          <w:szCs w:val="24"/>
        </w:rPr>
        <w:t>for a crisis)</w:t>
      </w:r>
    </w:p>
    <w:p w14:paraId="5D91FF21" w14:textId="59CF45C0" w:rsidR="00CF6D73" w:rsidRPr="00CF6D73" w:rsidRDefault="00CF6D73" w:rsidP="00CF6D73">
      <w:pPr>
        <w:autoSpaceDE w:val="0"/>
        <w:autoSpaceDN w:val="0"/>
        <w:adjustRightInd w:val="0"/>
        <w:spacing w:after="17"/>
        <w:ind w:leftChars="300" w:left="630"/>
        <w:jc w:val="left"/>
        <w:rPr>
          <w:rFonts w:ascii="Arial" w:hAnsi="Arial" w:cs="Arial"/>
          <w:kern w:val="0"/>
          <w:sz w:val="24"/>
          <w:szCs w:val="24"/>
        </w:rPr>
      </w:pPr>
      <w:r w:rsidRPr="00CF6D73">
        <w:rPr>
          <w:rFonts w:ascii="Arial" w:hAnsi="Arial" w:cs="Arial"/>
          <w:kern w:val="0"/>
          <w:sz w:val="24"/>
          <w:szCs w:val="24"/>
        </w:rPr>
        <w:t>-Protect</w:t>
      </w:r>
      <w:r>
        <w:rPr>
          <w:rFonts w:ascii="Arial" w:hAnsi="Arial" w:cs="Arial"/>
          <w:kern w:val="0"/>
          <w:sz w:val="24"/>
          <w:szCs w:val="24"/>
        </w:rPr>
        <w:t xml:space="preserve"> </w:t>
      </w:r>
      <w:r w:rsidRPr="00CF6D73">
        <w:rPr>
          <w:rFonts w:ascii="Arial" w:hAnsi="Arial" w:cs="Arial"/>
          <w:kern w:val="0"/>
          <w:sz w:val="24"/>
          <w:szCs w:val="24"/>
        </w:rPr>
        <w:t>the</w:t>
      </w:r>
      <w:r>
        <w:rPr>
          <w:rFonts w:ascii="Arial" w:hAnsi="Arial" w:cs="Arial"/>
          <w:kern w:val="0"/>
          <w:sz w:val="24"/>
          <w:szCs w:val="24"/>
        </w:rPr>
        <w:t xml:space="preserve"> </w:t>
      </w:r>
      <w:r w:rsidRPr="00CF6D73">
        <w:rPr>
          <w:rFonts w:ascii="Arial" w:hAnsi="Arial" w:cs="Arial"/>
          <w:b/>
          <w:bCs/>
          <w:kern w:val="0"/>
          <w:sz w:val="24"/>
          <w:szCs w:val="24"/>
        </w:rPr>
        <w:t>environment</w:t>
      </w:r>
      <w:r w:rsidRPr="00CF6D73">
        <w:rPr>
          <w:rFonts w:ascii="Arial" w:hAnsi="Arial" w:cs="Arial"/>
          <w:kern w:val="0"/>
          <w:sz w:val="24"/>
          <w:szCs w:val="24"/>
        </w:rPr>
        <w:t>(build</w:t>
      </w:r>
      <w:r>
        <w:rPr>
          <w:rFonts w:ascii="Arial" w:hAnsi="Arial" w:cs="Arial"/>
          <w:kern w:val="0"/>
          <w:sz w:val="24"/>
          <w:szCs w:val="24"/>
        </w:rPr>
        <w:t xml:space="preserve"> </w:t>
      </w:r>
      <w:r w:rsidRPr="00CF6D73">
        <w:rPr>
          <w:rFonts w:ascii="Arial" w:hAnsi="Arial" w:cs="Arial"/>
          <w:kern w:val="0"/>
          <w:sz w:val="24"/>
          <w:szCs w:val="24"/>
        </w:rPr>
        <w:t>greener</w:t>
      </w:r>
      <w:r>
        <w:rPr>
          <w:rFonts w:ascii="Arial" w:hAnsi="Arial" w:cs="Arial"/>
          <w:kern w:val="0"/>
          <w:sz w:val="24"/>
          <w:szCs w:val="24"/>
        </w:rPr>
        <w:t xml:space="preserve"> </w:t>
      </w:r>
      <w:r w:rsidRPr="00CF6D73">
        <w:rPr>
          <w:rFonts w:ascii="Arial" w:hAnsi="Arial" w:cs="Arial"/>
          <w:kern w:val="0"/>
          <w:sz w:val="24"/>
          <w:szCs w:val="24"/>
        </w:rPr>
        <w:t>cities, air quality, noise reduction, water efficiency)</w:t>
      </w:r>
    </w:p>
    <w:p w14:paraId="44F57BA4" w14:textId="77777777" w:rsidR="00CF6D73" w:rsidRPr="00CF6D73" w:rsidRDefault="00CF6D73" w:rsidP="00CF6D73">
      <w:pPr>
        <w:autoSpaceDE w:val="0"/>
        <w:autoSpaceDN w:val="0"/>
        <w:adjustRightInd w:val="0"/>
        <w:jc w:val="left"/>
        <w:rPr>
          <w:rFonts w:ascii="Arial" w:hAnsi="Arial" w:cs="Arial"/>
          <w:kern w:val="0"/>
          <w:sz w:val="24"/>
          <w:szCs w:val="24"/>
        </w:rPr>
      </w:pPr>
      <w:r w:rsidRPr="00CF6D73">
        <w:rPr>
          <w:rFonts w:ascii="Arial" w:hAnsi="Arial" w:cs="Arial"/>
          <w:kern w:val="0"/>
          <w:sz w:val="24"/>
          <w:szCs w:val="24"/>
        </w:rPr>
        <w:t xml:space="preserve">•Ours standards help achieve </w:t>
      </w:r>
      <w:r w:rsidRPr="00CF6D73">
        <w:rPr>
          <w:rFonts w:ascii="Arial" w:hAnsi="Arial" w:cs="Arial"/>
          <w:b/>
          <w:bCs/>
          <w:kern w:val="0"/>
          <w:sz w:val="24"/>
          <w:szCs w:val="24"/>
        </w:rPr>
        <w:t>SDG 11</w:t>
      </w:r>
      <w:r w:rsidRPr="00CF6D73">
        <w:rPr>
          <w:rFonts w:ascii="Arial" w:hAnsi="Arial" w:cs="Arial"/>
          <w:kern w:val="0"/>
          <w:sz w:val="24"/>
          <w:szCs w:val="24"/>
        </w:rPr>
        <w:t>(make cities and human settlements inclusive, safe, resilient and sustainable)</w:t>
      </w:r>
    </w:p>
    <w:p w14:paraId="2817A900" w14:textId="77777777" w:rsidR="00CF6D73" w:rsidRPr="00CF6D73" w:rsidRDefault="00CF6D73" w:rsidP="00CF6D73">
      <w:pPr>
        <w:autoSpaceDE w:val="0"/>
        <w:autoSpaceDN w:val="0"/>
        <w:adjustRightInd w:val="0"/>
        <w:jc w:val="left"/>
        <w:rPr>
          <w:rFonts w:ascii="Arial" w:hAnsi="Arial" w:cs="Arial"/>
          <w:kern w:val="0"/>
          <w:sz w:val="28"/>
          <w:szCs w:val="28"/>
        </w:rPr>
      </w:pPr>
    </w:p>
    <w:p w14:paraId="13399C30" w14:textId="77777777" w:rsidR="00CF6D73" w:rsidRPr="00CF6D73" w:rsidRDefault="00CF6D73" w:rsidP="00CF6D73">
      <w:pPr>
        <w:jc w:val="center"/>
        <w:rPr>
          <w:sz w:val="24"/>
          <w:szCs w:val="24"/>
          <w:bdr w:val="single" w:sz="4" w:space="0" w:color="auto"/>
        </w:rPr>
      </w:pPr>
    </w:p>
    <w:sectPr w:rsidR="00CF6D73" w:rsidRPr="00CF6D73">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A263C" w14:textId="77777777" w:rsidR="00FD53E5" w:rsidRDefault="00FD53E5" w:rsidP="00EB4D00">
      <w:r>
        <w:separator/>
      </w:r>
    </w:p>
  </w:endnote>
  <w:endnote w:type="continuationSeparator" w:id="0">
    <w:p w14:paraId="093AF8F1" w14:textId="77777777" w:rsidR="00FD53E5" w:rsidRDefault="00FD53E5" w:rsidP="00EB4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2503104"/>
      <w:docPartObj>
        <w:docPartGallery w:val="Page Numbers (Bottom of Page)"/>
        <w:docPartUnique/>
      </w:docPartObj>
    </w:sdtPr>
    <w:sdtEndPr/>
    <w:sdtContent>
      <w:p w14:paraId="357A284F" w14:textId="2262CF88" w:rsidR="00EB4D00" w:rsidRDefault="00EB4D00">
        <w:pPr>
          <w:pStyle w:val="a5"/>
          <w:jc w:val="center"/>
        </w:pPr>
        <w:r>
          <w:fldChar w:fldCharType="begin"/>
        </w:r>
        <w:r>
          <w:instrText>PAGE   \* MERGEFORMAT</w:instrText>
        </w:r>
        <w:r>
          <w:fldChar w:fldCharType="separate"/>
        </w:r>
        <w:r>
          <w:rPr>
            <w:lang w:val="ja-JP"/>
          </w:rPr>
          <w:t>2</w:t>
        </w:r>
        <w:r>
          <w:fldChar w:fldCharType="end"/>
        </w:r>
      </w:p>
    </w:sdtContent>
  </w:sdt>
  <w:p w14:paraId="708EF8C9" w14:textId="77777777" w:rsidR="00EB4D00" w:rsidRDefault="00EB4D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5D8F6" w14:textId="77777777" w:rsidR="00FD53E5" w:rsidRDefault="00FD53E5" w:rsidP="00EB4D00">
      <w:r>
        <w:separator/>
      </w:r>
    </w:p>
  </w:footnote>
  <w:footnote w:type="continuationSeparator" w:id="0">
    <w:p w14:paraId="671C44BD" w14:textId="77777777" w:rsidR="00FD53E5" w:rsidRDefault="00FD53E5" w:rsidP="00EB4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B56"/>
    <w:rsid w:val="000A1F76"/>
    <w:rsid w:val="00191649"/>
    <w:rsid w:val="002B31B2"/>
    <w:rsid w:val="00360EBD"/>
    <w:rsid w:val="00367B56"/>
    <w:rsid w:val="004C11F6"/>
    <w:rsid w:val="00637312"/>
    <w:rsid w:val="00891868"/>
    <w:rsid w:val="00A15499"/>
    <w:rsid w:val="00AF189D"/>
    <w:rsid w:val="00B11938"/>
    <w:rsid w:val="00BB6A21"/>
    <w:rsid w:val="00CC4DD9"/>
    <w:rsid w:val="00CF6D73"/>
    <w:rsid w:val="00D0621D"/>
    <w:rsid w:val="00EB4D00"/>
    <w:rsid w:val="00FD5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428F23"/>
  <w15:chartTrackingRefBased/>
  <w15:docId w15:val="{3C1CE520-2FE3-44ED-8745-0781EC63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7B56"/>
    <w:pPr>
      <w:widowControl w:val="0"/>
      <w:autoSpaceDE w:val="0"/>
      <w:autoSpaceDN w:val="0"/>
      <w:adjustRightInd w:val="0"/>
    </w:pPr>
    <w:rPr>
      <w:rFonts w:ascii="Times New Roman" w:hAnsi="Times New Roman" w:cs="Times New Roman"/>
      <w:color w:val="000000"/>
      <w:kern w:val="0"/>
      <w:sz w:val="24"/>
      <w:szCs w:val="24"/>
    </w:rPr>
  </w:style>
  <w:style w:type="paragraph" w:styleId="a3">
    <w:name w:val="header"/>
    <w:basedOn w:val="a"/>
    <w:link w:val="a4"/>
    <w:uiPriority w:val="99"/>
    <w:unhideWhenUsed/>
    <w:rsid w:val="00EB4D00"/>
    <w:pPr>
      <w:tabs>
        <w:tab w:val="center" w:pos="4252"/>
        <w:tab w:val="right" w:pos="8504"/>
      </w:tabs>
      <w:snapToGrid w:val="0"/>
    </w:pPr>
  </w:style>
  <w:style w:type="character" w:customStyle="1" w:styleId="a4">
    <w:name w:val="ヘッダー (文字)"/>
    <w:basedOn w:val="a0"/>
    <w:link w:val="a3"/>
    <w:uiPriority w:val="99"/>
    <w:rsid w:val="00EB4D00"/>
  </w:style>
  <w:style w:type="paragraph" w:styleId="a5">
    <w:name w:val="footer"/>
    <w:basedOn w:val="a"/>
    <w:link w:val="a6"/>
    <w:uiPriority w:val="99"/>
    <w:unhideWhenUsed/>
    <w:rsid w:val="00EB4D00"/>
    <w:pPr>
      <w:tabs>
        <w:tab w:val="center" w:pos="4252"/>
        <w:tab w:val="right" w:pos="8504"/>
      </w:tabs>
      <w:snapToGrid w:val="0"/>
    </w:pPr>
  </w:style>
  <w:style w:type="character" w:customStyle="1" w:styleId="a6">
    <w:name w:val="フッター (文字)"/>
    <w:basedOn w:val="a0"/>
    <w:link w:val="a5"/>
    <w:uiPriority w:val="99"/>
    <w:rsid w:val="00EB4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598</Words>
  <Characters>3412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10</cp:revision>
  <dcterms:created xsi:type="dcterms:W3CDTF">2020-06-28T08:07:00Z</dcterms:created>
  <dcterms:modified xsi:type="dcterms:W3CDTF">2020-07-09T02:46:00Z</dcterms:modified>
</cp:coreProperties>
</file>