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168"/>
        <w:gridCol w:w="1168"/>
        <w:gridCol w:w="2338"/>
        <w:gridCol w:w="1169"/>
        <w:gridCol w:w="1169"/>
        <w:gridCol w:w="2338"/>
      </w:tblGrid>
      <w:tr w:rsidR="008A2482" w:rsidRPr="008A2482" w:rsidTr="000C52D5">
        <w:tc>
          <w:tcPr>
            <w:tcW w:w="9350" w:type="dxa"/>
            <w:gridSpan w:val="6"/>
            <w:shd w:val="clear" w:color="auto" w:fill="F2F2F2" w:themeFill="background1" w:themeFillShade="F2"/>
            <w:vAlign w:val="center"/>
          </w:tcPr>
          <w:p w:rsidR="008A2482" w:rsidRPr="008A2482" w:rsidRDefault="008A2482" w:rsidP="008A2482">
            <w:pPr>
              <w:jc w:val="center"/>
              <w:rPr>
                <w:b/>
                <w:sz w:val="44"/>
              </w:rPr>
            </w:pPr>
            <w:r w:rsidRPr="008A2482">
              <w:rPr>
                <w:b/>
                <w:sz w:val="44"/>
              </w:rPr>
              <w:t>UN/CEFACT Project Proposal</w:t>
            </w:r>
          </w:p>
        </w:tc>
      </w:tr>
      <w:tr w:rsidR="008A2482" w:rsidRPr="008A2482" w:rsidTr="00C67389">
        <w:tc>
          <w:tcPr>
            <w:tcW w:w="2336" w:type="dxa"/>
            <w:gridSpan w:val="2"/>
            <w:shd w:val="clear" w:color="auto" w:fill="F2F2F2" w:themeFill="background1" w:themeFillShade="F2"/>
          </w:tcPr>
          <w:p w:rsidR="008A2482" w:rsidRPr="008A2482" w:rsidRDefault="008A2482">
            <w:pPr>
              <w:rPr>
                <w:sz w:val="28"/>
              </w:rPr>
            </w:pPr>
            <w:r w:rsidRPr="008A2482">
              <w:rPr>
                <w:sz w:val="28"/>
              </w:rPr>
              <w:t>Project Name:</w:t>
            </w:r>
          </w:p>
        </w:tc>
        <w:tc>
          <w:tcPr>
            <w:tcW w:w="7014" w:type="dxa"/>
            <w:gridSpan w:val="4"/>
            <w:vAlign w:val="center"/>
          </w:tcPr>
          <w:p w:rsidR="008A2482" w:rsidRPr="008A2482" w:rsidRDefault="00AB2109" w:rsidP="00611DB2">
            <w:pPr>
              <w:rPr>
                <w:sz w:val="28"/>
              </w:rPr>
            </w:pPr>
            <w:r>
              <w:rPr>
                <w:sz w:val="28"/>
              </w:rPr>
              <w:t xml:space="preserve">Revised </w:t>
            </w:r>
            <w:r w:rsidR="001122C4">
              <w:rPr>
                <w:sz w:val="28"/>
              </w:rPr>
              <w:t xml:space="preserve">BRS </w:t>
            </w:r>
            <w:r>
              <w:rPr>
                <w:sz w:val="28"/>
              </w:rPr>
              <w:t xml:space="preserve">Cross Industry </w:t>
            </w:r>
            <w:proofErr w:type="spellStart"/>
            <w:r>
              <w:rPr>
                <w:sz w:val="28"/>
              </w:rPr>
              <w:t>De</w:t>
            </w:r>
            <w:r w:rsidR="00611DB2">
              <w:rPr>
                <w:sz w:val="28"/>
              </w:rPr>
              <w:t>spatch</w:t>
            </w:r>
            <w:proofErr w:type="spellEnd"/>
            <w:r w:rsidR="00611DB2">
              <w:rPr>
                <w:sz w:val="28"/>
              </w:rPr>
              <w:t xml:space="preserve"> and Receive process</w:t>
            </w:r>
            <w:r>
              <w:rPr>
                <w:sz w:val="28"/>
              </w:rPr>
              <w:t xml:space="preserve"> Project</w:t>
            </w:r>
          </w:p>
        </w:tc>
      </w:tr>
      <w:tr w:rsidR="008A2482" w:rsidTr="000C52D5">
        <w:tc>
          <w:tcPr>
            <w:tcW w:w="2337" w:type="dxa"/>
            <w:gridSpan w:val="2"/>
            <w:shd w:val="clear" w:color="auto" w:fill="F2F2F2" w:themeFill="background1" w:themeFillShade="F2"/>
          </w:tcPr>
          <w:p w:rsidR="008A2482" w:rsidRDefault="008A2482">
            <w:r>
              <w:t>Date submitted:</w:t>
            </w:r>
          </w:p>
        </w:tc>
        <w:tc>
          <w:tcPr>
            <w:tcW w:w="2337" w:type="dxa"/>
          </w:tcPr>
          <w:p w:rsidR="008A2482" w:rsidRDefault="00AB2109">
            <w:r>
              <w:t>2018-10-07</w:t>
            </w:r>
          </w:p>
        </w:tc>
        <w:tc>
          <w:tcPr>
            <w:tcW w:w="2338" w:type="dxa"/>
            <w:gridSpan w:val="2"/>
            <w:shd w:val="clear" w:color="auto" w:fill="F2F2F2" w:themeFill="background1" w:themeFillShade="F2"/>
          </w:tcPr>
          <w:p w:rsidR="008A2482" w:rsidRDefault="008A2482">
            <w:r>
              <w:t>Proposed by:</w:t>
            </w:r>
          </w:p>
        </w:tc>
        <w:tc>
          <w:tcPr>
            <w:tcW w:w="2338" w:type="dxa"/>
          </w:tcPr>
          <w:p w:rsidR="008A2482" w:rsidRDefault="00611DB2">
            <w:r>
              <w:t>Rolf Wessel/Gerhard Heemskerk</w:t>
            </w:r>
          </w:p>
        </w:tc>
      </w:tr>
      <w:tr w:rsidR="000C52D5" w:rsidTr="000C52D5">
        <w:tc>
          <w:tcPr>
            <w:tcW w:w="9350" w:type="dxa"/>
            <w:gridSpan w:val="6"/>
          </w:tcPr>
          <w:p w:rsidR="000C52D5" w:rsidRDefault="000C52D5"/>
        </w:tc>
      </w:tr>
      <w:tr w:rsidR="008A2482" w:rsidRPr="008A2482" w:rsidTr="000C52D5">
        <w:tc>
          <w:tcPr>
            <w:tcW w:w="9350" w:type="dxa"/>
            <w:gridSpan w:val="6"/>
            <w:shd w:val="clear" w:color="auto" w:fill="D9D9D9" w:themeFill="background1" w:themeFillShade="D9"/>
          </w:tcPr>
          <w:p w:rsidR="00C67389" w:rsidRDefault="008A2482">
            <w:pPr>
              <w:rPr>
                <w:b/>
                <w:sz w:val="32"/>
              </w:rPr>
            </w:pPr>
            <w:r w:rsidRPr="008A2482">
              <w:rPr>
                <w:b/>
                <w:sz w:val="32"/>
              </w:rPr>
              <w:t>1. Project purpose</w:t>
            </w:r>
          </w:p>
          <w:p w:rsidR="008A2482" w:rsidRPr="00C67389" w:rsidRDefault="00C67389">
            <w:pPr>
              <w:rPr>
                <w:b/>
                <w:i/>
                <w:sz w:val="32"/>
              </w:rPr>
            </w:pPr>
            <w:r w:rsidRPr="00C67389">
              <w:rPr>
                <w:b/>
                <w:i/>
              </w:rPr>
              <w:t>Required</w:t>
            </w:r>
          </w:p>
        </w:tc>
      </w:tr>
      <w:tr w:rsidR="008A2482" w:rsidTr="000C52D5">
        <w:trPr>
          <w:trHeight w:val="1440"/>
        </w:trPr>
        <w:tc>
          <w:tcPr>
            <w:tcW w:w="9350" w:type="dxa"/>
            <w:gridSpan w:val="6"/>
          </w:tcPr>
          <w:p w:rsidR="008A2482" w:rsidRPr="00AB2109" w:rsidRDefault="00AB2109" w:rsidP="00AB2109">
            <w:pPr>
              <w:pStyle w:val="SingleTxtG"/>
              <w:spacing w:line="240" w:lineRule="auto"/>
              <w:ind w:left="0" w:right="0"/>
            </w:pPr>
            <w:r w:rsidRPr="00257CED">
              <w:t xml:space="preserve">The project is to revise the function of the current Cross Industry </w:t>
            </w:r>
            <w:r>
              <w:t xml:space="preserve">Despatch and Receive </w:t>
            </w:r>
            <w:r w:rsidRPr="00257CED">
              <w:t>Process which was published by UN/CEFACT in 200</w:t>
            </w:r>
            <w:r>
              <w:t>9</w:t>
            </w:r>
            <w:r w:rsidRPr="00257CED">
              <w:t xml:space="preserve">. The purpose of the project is to </w:t>
            </w:r>
            <w:r>
              <w:t xml:space="preserve">add </w:t>
            </w:r>
            <w:r w:rsidRPr="00257CED">
              <w:t xml:space="preserve">the </w:t>
            </w:r>
            <w:r>
              <w:t>Receive Process</w:t>
            </w:r>
            <w:r w:rsidRPr="00257CED">
              <w:t xml:space="preserve"> (Cross Industry </w:t>
            </w:r>
            <w:r>
              <w:t>Receiving Advice</w:t>
            </w:r>
            <w:r w:rsidRPr="00257CED">
              <w:t xml:space="preserve">) </w:t>
            </w:r>
            <w:r>
              <w:t>for which r</w:t>
            </w:r>
            <w:r w:rsidRPr="00257CED">
              <w:t xml:space="preserve">equirements </w:t>
            </w:r>
            <w:r>
              <w:t xml:space="preserve">were </w:t>
            </w:r>
            <w:r w:rsidRPr="00257CED">
              <w:t>to be included in a future version of th</w:t>
            </w:r>
            <w:r>
              <w:t xml:space="preserve">e </w:t>
            </w:r>
            <w:r w:rsidRPr="00257CED">
              <w:t>BRS</w:t>
            </w:r>
            <w:r>
              <w:t xml:space="preserve"> including the development of the message structure</w:t>
            </w:r>
            <w:r w:rsidRPr="00257CED">
              <w:t>.</w:t>
            </w:r>
            <w:r>
              <w:t xml:space="preserve"> </w:t>
            </w:r>
          </w:p>
        </w:tc>
      </w:tr>
      <w:tr w:rsidR="008A2482" w:rsidRPr="008A2482" w:rsidTr="000C52D5">
        <w:tc>
          <w:tcPr>
            <w:tcW w:w="9350" w:type="dxa"/>
            <w:gridSpan w:val="6"/>
            <w:shd w:val="clear" w:color="auto" w:fill="D9D9D9" w:themeFill="background1" w:themeFillShade="D9"/>
          </w:tcPr>
          <w:p w:rsidR="00C67389" w:rsidRDefault="008A2482" w:rsidP="00C67389">
            <w:pPr>
              <w:rPr>
                <w:b/>
                <w:sz w:val="32"/>
                <w:szCs w:val="32"/>
              </w:rPr>
            </w:pPr>
            <w:r w:rsidRPr="008A2482">
              <w:rPr>
                <w:b/>
                <w:sz w:val="32"/>
                <w:szCs w:val="32"/>
              </w:rPr>
              <w:t>2. Project scope</w:t>
            </w:r>
          </w:p>
          <w:p w:rsidR="008A2482" w:rsidRPr="00C67389" w:rsidRDefault="00C67389" w:rsidP="00C67389">
            <w:pPr>
              <w:rPr>
                <w:b/>
                <w:i/>
                <w:sz w:val="32"/>
                <w:szCs w:val="32"/>
              </w:rPr>
            </w:pPr>
            <w:r w:rsidRPr="00C67389">
              <w:rPr>
                <w:b/>
                <w:i/>
                <w:szCs w:val="32"/>
              </w:rPr>
              <w:t>Required</w:t>
            </w:r>
          </w:p>
        </w:tc>
      </w:tr>
      <w:tr w:rsidR="008A2482" w:rsidTr="000C52D5">
        <w:trPr>
          <w:trHeight w:val="1440"/>
        </w:trPr>
        <w:tc>
          <w:tcPr>
            <w:tcW w:w="9350" w:type="dxa"/>
            <w:gridSpan w:val="6"/>
          </w:tcPr>
          <w:p w:rsidR="008A2482" w:rsidRDefault="00AB2109" w:rsidP="00AB2109">
            <w:pPr>
              <w:tabs>
                <w:tab w:val="decimal" w:pos="432"/>
                <w:tab w:val="decimal" w:pos="792"/>
              </w:tabs>
              <w:spacing w:after="120"/>
              <w:jc w:val="both"/>
            </w:pPr>
            <w:r>
              <w:t>The s</w:t>
            </w:r>
            <w:r w:rsidRPr="00257CED">
              <w:t xml:space="preserve">cope of the project is to exchange information from one party to another party for the </w:t>
            </w:r>
            <w:r>
              <w:t xml:space="preserve">delivery </w:t>
            </w:r>
            <w:r w:rsidRPr="00257CED">
              <w:t xml:space="preserve">supply chain management. Messages used in the </w:t>
            </w:r>
            <w:r>
              <w:t xml:space="preserve">delivery </w:t>
            </w:r>
            <w:r w:rsidRPr="00257CED">
              <w:t xml:space="preserve">supply chain management are </w:t>
            </w:r>
            <w:r>
              <w:t xml:space="preserve">the </w:t>
            </w:r>
            <w:proofErr w:type="spellStart"/>
            <w:r>
              <w:t>despatch</w:t>
            </w:r>
            <w:proofErr w:type="spellEnd"/>
            <w:r>
              <w:t xml:space="preserve"> advice and </w:t>
            </w:r>
            <w:r w:rsidRPr="00257CED">
              <w:t xml:space="preserve">the </w:t>
            </w:r>
            <w:r>
              <w:t>receiving advice</w:t>
            </w:r>
            <w:r w:rsidRPr="00257CED">
              <w:t xml:space="preserve">. Messages can be used by any organizations involved in the </w:t>
            </w:r>
            <w:r>
              <w:t xml:space="preserve">delivery </w:t>
            </w:r>
            <w:r w:rsidRPr="00257CED">
              <w:t>supply chain, including SMEs.</w:t>
            </w:r>
          </w:p>
        </w:tc>
      </w:tr>
      <w:tr w:rsidR="008A2482" w:rsidRPr="008A2482" w:rsidTr="000C52D5">
        <w:tc>
          <w:tcPr>
            <w:tcW w:w="9350" w:type="dxa"/>
            <w:gridSpan w:val="6"/>
            <w:shd w:val="clear" w:color="auto" w:fill="D9D9D9" w:themeFill="background1" w:themeFillShade="D9"/>
          </w:tcPr>
          <w:p w:rsidR="00C67389" w:rsidRDefault="008A2482" w:rsidP="00C67389">
            <w:pPr>
              <w:rPr>
                <w:b/>
                <w:sz w:val="32"/>
              </w:rPr>
            </w:pPr>
            <w:r w:rsidRPr="008A2482">
              <w:rPr>
                <w:b/>
                <w:sz w:val="32"/>
              </w:rPr>
              <w:t>3. Project deliverables</w:t>
            </w:r>
          </w:p>
          <w:p w:rsidR="008A2482" w:rsidRPr="00C67389" w:rsidRDefault="00C67389" w:rsidP="00C67389">
            <w:pPr>
              <w:rPr>
                <w:b/>
                <w:i/>
              </w:rPr>
            </w:pPr>
            <w:r w:rsidRPr="00C67389">
              <w:rPr>
                <w:b/>
                <w:i/>
              </w:rPr>
              <w:t>Required</w:t>
            </w:r>
          </w:p>
        </w:tc>
      </w:tr>
      <w:tr w:rsidR="008A2482" w:rsidTr="000C52D5">
        <w:tc>
          <w:tcPr>
            <w:tcW w:w="2337" w:type="dxa"/>
            <w:gridSpan w:val="2"/>
            <w:shd w:val="clear" w:color="auto" w:fill="F2F2F2" w:themeFill="background1" w:themeFillShade="F2"/>
          </w:tcPr>
          <w:p w:rsidR="008A2482" w:rsidRDefault="008A2482">
            <w:r>
              <w:t>Deliverable 1:</w:t>
            </w:r>
          </w:p>
        </w:tc>
        <w:tc>
          <w:tcPr>
            <w:tcW w:w="7013" w:type="dxa"/>
            <w:gridSpan w:val="4"/>
            <w:vAlign w:val="center"/>
          </w:tcPr>
          <w:p w:rsidR="008A2482" w:rsidRDefault="00AB2109" w:rsidP="008A2482">
            <w:r w:rsidRPr="00C059AA">
              <w:t>A</w:t>
            </w:r>
            <w:r>
              <w:t xml:space="preserve"> revised </w:t>
            </w:r>
            <w:r w:rsidRPr="00C059AA">
              <w:t>Business Requirements Specification (BRS) document containing Business Process Models covering electronic business proce</w:t>
            </w:r>
            <w:r>
              <w:t xml:space="preserve">ss of </w:t>
            </w:r>
            <w:proofErr w:type="spellStart"/>
            <w:r>
              <w:t>despatch</w:t>
            </w:r>
            <w:proofErr w:type="spellEnd"/>
            <w:r>
              <w:t xml:space="preserve"> and receive</w:t>
            </w:r>
          </w:p>
        </w:tc>
      </w:tr>
      <w:tr w:rsidR="008A2482" w:rsidTr="000C52D5">
        <w:tc>
          <w:tcPr>
            <w:tcW w:w="2337" w:type="dxa"/>
            <w:gridSpan w:val="2"/>
            <w:shd w:val="clear" w:color="auto" w:fill="F2F2F2" w:themeFill="background1" w:themeFillShade="F2"/>
          </w:tcPr>
          <w:p w:rsidR="008A2482" w:rsidRDefault="008A2482">
            <w:r>
              <w:t>Deliverable 2:</w:t>
            </w:r>
          </w:p>
        </w:tc>
        <w:tc>
          <w:tcPr>
            <w:tcW w:w="7013" w:type="dxa"/>
            <w:gridSpan w:val="4"/>
            <w:vAlign w:val="center"/>
          </w:tcPr>
          <w:p w:rsidR="008A2482" w:rsidRDefault="00AB2109" w:rsidP="008A2482">
            <w:r>
              <w:t xml:space="preserve">CCBDA message structures for the </w:t>
            </w:r>
            <w:proofErr w:type="spellStart"/>
            <w:r>
              <w:t>despatch</w:t>
            </w:r>
            <w:proofErr w:type="spellEnd"/>
            <w:r>
              <w:t xml:space="preserve"> and receive process, </w:t>
            </w:r>
            <w:r w:rsidRPr="00C059AA">
              <w:t xml:space="preserve">describing the </w:t>
            </w:r>
            <w:r>
              <w:t xml:space="preserve">CCBDA </w:t>
            </w:r>
            <w:r w:rsidRPr="00C059AA">
              <w:t>message structures (as class diagrams) for the business transactions</w:t>
            </w:r>
            <w:r>
              <w:t xml:space="preserve"> </w:t>
            </w:r>
            <w:proofErr w:type="spellStart"/>
            <w:r>
              <w:t>despatch</w:t>
            </w:r>
            <w:proofErr w:type="spellEnd"/>
            <w:r>
              <w:t xml:space="preserve"> advice and receiving advice</w:t>
            </w:r>
          </w:p>
        </w:tc>
      </w:tr>
      <w:tr w:rsidR="008A2482" w:rsidTr="000C52D5">
        <w:tc>
          <w:tcPr>
            <w:tcW w:w="2337" w:type="dxa"/>
            <w:gridSpan w:val="2"/>
            <w:shd w:val="clear" w:color="auto" w:fill="F2F2F2" w:themeFill="background1" w:themeFillShade="F2"/>
          </w:tcPr>
          <w:p w:rsidR="008A2482" w:rsidRDefault="008A2482">
            <w:r>
              <w:t>Deliverable 3:</w:t>
            </w:r>
          </w:p>
        </w:tc>
        <w:tc>
          <w:tcPr>
            <w:tcW w:w="7013" w:type="dxa"/>
            <w:gridSpan w:val="4"/>
            <w:vAlign w:val="center"/>
          </w:tcPr>
          <w:p w:rsidR="008A2482" w:rsidRDefault="00AB2109" w:rsidP="008A2482">
            <w:r>
              <w:t>Reference BIEs needed, including CCs for the CCL</w:t>
            </w:r>
          </w:p>
        </w:tc>
      </w:tr>
      <w:tr w:rsidR="008A2482" w:rsidTr="000C52D5">
        <w:tc>
          <w:tcPr>
            <w:tcW w:w="2337" w:type="dxa"/>
            <w:gridSpan w:val="2"/>
            <w:shd w:val="clear" w:color="auto" w:fill="F2F2F2" w:themeFill="background1" w:themeFillShade="F2"/>
          </w:tcPr>
          <w:p w:rsidR="008A2482" w:rsidRDefault="00AB2109">
            <w:r>
              <w:t>Deliverable 4:</w:t>
            </w:r>
          </w:p>
        </w:tc>
        <w:tc>
          <w:tcPr>
            <w:tcW w:w="7013" w:type="dxa"/>
            <w:gridSpan w:val="4"/>
            <w:vAlign w:val="center"/>
          </w:tcPr>
          <w:p w:rsidR="008A2482" w:rsidRDefault="00AB2109" w:rsidP="008A2482">
            <w:r>
              <w:t>X</w:t>
            </w:r>
            <w:r w:rsidRPr="00C059AA">
              <w:t xml:space="preserve">ML Schemas to implement the </w:t>
            </w:r>
            <w:r>
              <w:t xml:space="preserve">CCBDA </w:t>
            </w:r>
            <w:r w:rsidRPr="00C059AA">
              <w:t>message structures for the business transactions</w:t>
            </w:r>
          </w:p>
        </w:tc>
      </w:tr>
      <w:tr w:rsidR="008A2482" w:rsidRPr="008A2482" w:rsidTr="000C52D5">
        <w:tc>
          <w:tcPr>
            <w:tcW w:w="9350" w:type="dxa"/>
            <w:gridSpan w:val="6"/>
            <w:shd w:val="clear" w:color="auto" w:fill="D9D9D9" w:themeFill="background1" w:themeFillShade="D9"/>
            <w:vAlign w:val="center"/>
          </w:tcPr>
          <w:p w:rsidR="008A2482" w:rsidRDefault="008A2482" w:rsidP="008A2482">
            <w:pPr>
              <w:rPr>
                <w:b/>
                <w:sz w:val="32"/>
              </w:rPr>
            </w:pPr>
            <w:r w:rsidRPr="008A2482">
              <w:rPr>
                <w:b/>
                <w:sz w:val="32"/>
              </w:rPr>
              <w:t>4. Exit Criteria</w:t>
            </w:r>
          </w:p>
          <w:p w:rsidR="00C67389" w:rsidRPr="00C67389" w:rsidRDefault="00C67389" w:rsidP="008A2482">
            <w:pPr>
              <w:rPr>
                <w:b/>
                <w:i/>
                <w:sz w:val="32"/>
              </w:rPr>
            </w:pPr>
            <w:r w:rsidRPr="00C67389">
              <w:rPr>
                <w:b/>
                <w:i/>
              </w:rPr>
              <w:t>Required</w:t>
            </w:r>
          </w:p>
        </w:tc>
      </w:tr>
      <w:tr w:rsidR="008A2482" w:rsidTr="000C52D5">
        <w:tc>
          <w:tcPr>
            <w:tcW w:w="2337" w:type="dxa"/>
            <w:gridSpan w:val="2"/>
            <w:shd w:val="clear" w:color="auto" w:fill="F2F2F2" w:themeFill="background1" w:themeFillShade="F2"/>
          </w:tcPr>
          <w:p w:rsidR="008A2482" w:rsidRDefault="008A2482" w:rsidP="008A2482">
            <w:r>
              <w:t xml:space="preserve">Exit Criteria for </w:t>
            </w:r>
            <w:proofErr w:type="spellStart"/>
            <w:r>
              <w:t>Deliv</w:t>
            </w:r>
            <w:proofErr w:type="spellEnd"/>
            <w:r>
              <w:t>. 1:</w:t>
            </w:r>
          </w:p>
        </w:tc>
        <w:tc>
          <w:tcPr>
            <w:tcW w:w="7013" w:type="dxa"/>
            <w:gridSpan w:val="4"/>
            <w:vAlign w:val="center"/>
          </w:tcPr>
          <w:p w:rsidR="00AB2109" w:rsidRDefault="00AB2109" w:rsidP="00AB2109">
            <w:r>
              <w:t>Completed revised BRS</w:t>
            </w:r>
          </w:p>
          <w:p w:rsidR="008A2482" w:rsidRDefault="00AB2109" w:rsidP="00AB2109">
            <w:r>
              <w:t>Public review and logs showing how comments have been addressed</w:t>
            </w:r>
          </w:p>
        </w:tc>
      </w:tr>
      <w:tr w:rsidR="008A2482" w:rsidTr="000C52D5">
        <w:tc>
          <w:tcPr>
            <w:tcW w:w="2337" w:type="dxa"/>
            <w:gridSpan w:val="2"/>
            <w:shd w:val="clear" w:color="auto" w:fill="F2F2F2" w:themeFill="background1" w:themeFillShade="F2"/>
          </w:tcPr>
          <w:p w:rsidR="008A2482" w:rsidRDefault="008A2482" w:rsidP="008A2482">
            <w:r>
              <w:t xml:space="preserve">Exit Criteria for </w:t>
            </w:r>
            <w:proofErr w:type="spellStart"/>
            <w:r>
              <w:t>Deliv</w:t>
            </w:r>
            <w:proofErr w:type="spellEnd"/>
            <w:r>
              <w:t>. 2:</w:t>
            </w:r>
          </w:p>
        </w:tc>
        <w:tc>
          <w:tcPr>
            <w:tcW w:w="7013" w:type="dxa"/>
            <w:gridSpan w:val="4"/>
            <w:vAlign w:val="center"/>
          </w:tcPr>
          <w:p w:rsidR="008A2482" w:rsidRDefault="00AB2109" w:rsidP="008A2482">
            <w:r w:rsidRPr="00AB2109">
              <w:t>Comp</w:t>
            </w:r>
            <w:r>
              <w:t>l</w:t>
            </w:r>
            <w:r w:rsidRPr="00AB2109">
              <w:t>eted CCBDA message structures</w:t>
            </w:r>
            <w:r>
              <w:t xml:space="preserve"> ready for publication</w:t>
            </w:r>
          </w:p>
        </w:tc>
      </w:tr>
      <w:tr w:rsidR="008A2482" w:rsidTr="000C52D5">
        <w:tc>
          <w:tcPr>
            <w:tcW w:w="2337" w:type="dxa"/>
            <w:gridSpan w:val="2"/>
            <w:shd w:val="clear" w:color="auto" w:fill="F2F2F2" w:themeFill="background1" w:themeFillShade="F2"/>
          </w:tcPr>
          <w:p w:rsidR="008A2482" w:rsidRDefault="008A2482" w:rsidP="008A2482">
            <w:r>
              <w:t xml:space="preserve">Exit Criteria for </w:t>
            </w:r>
            <w:proofErr w:type="spellStart"/>
            <w:r>
              <w:t>Deliv</w:t>
            </w:r>
            <w:proofErr w:type="spellEnd"/>
            <w:r>
              <w:t>. 3:</w:t>
            </w:r>
          </w:p>
        </w:tc>
        <w:tc>
          <w:tcPr>
            <w:tcW w:w="7013" w:type="dxa"/>
            <w:gridSpan w:val="4"/>
            <w:vAlign w:val="center"/>
          </w:tcPr>
          <w:p w:rsidR="008A2482" w:rsidRDefault="00AB2109" w:rsidP="008A2482">
            <w:r>
              <w:t>BIEs and CCs integrated into the CCL as per the BRS and CCBDA</w:t>
            </w:r>
          </w:p>
        </w:tc>
      </w:tr>
      <w:tr w:rsidR="008A2482" w:rsidTr="000C52D5">
        <w:tc>
          <w:tcPr>
            <w:tcW w:w="2337" w:type="dxa"/>
            <w:gridSpan w:val="2"/>
            <w:shd w:val="clear" w:color="auto" w:fill="F2F2F2" w:themeFill="background1" w:themeFillShade="F2"/>
          </w:tcPr>
          <w:p w:rsidR="008A2482" w:rsidRDefault="008A2482" w:rsidP="008A2482">
            <w:r>
              <w:t xml:space="preserve">Exit Criteria for </w:t>
            </w:r>
            <w:proofErr w:type="spellStart"/>
            <w:r w:rsidR="00AB2109">
              <w:t>Deliv</w:t>
            </w:r>
            <w:proofErr w:type="spellEnd"/>
            <w:r w:rsidR="00AB2109">
              <w:t>. 4</w:t>
            </w:r>
            <w:r>
              <w:t>:</w:t>
            </w:r>
          </w:p>
        </w:tc>
        <w:tc>
          <w:tcPr>
            <w:tcW w:w="7013" w:type="dxa"/>
            <w:gridSpan w:val="4"/>
            <w:vAlign w:val="center"/>
          </w:tcPr>
          <w:p w:rsidR="008A2482" w:rsidRDefault="00AB2109" w:rsidP="008A2482">
            <w:r>
              <w:t>Completed XML Schemas ready for publication</w:t>
            </w:r>
          </w:p>
        </w:tc>
      </w:tr>
      <w:tr w:rsidR="008A2482" w:rsidRPr="008A2482" w:rsidTr="000C52D5">
        <w:tc>
          <w:tcPr>
            <w:tcW w:w="9350" w:type="dxa"/>
            <w:gridSpan w:val="6"/>
            <w:shd w:val="clear" w:color="auto" w:fill="D9D9D9" w:themeFill="background1" w:themeFillShade="D9"/>
            <w:vAlign w:val="center"/>
          </w:tcPr>
          <w:p w:rsidR="008A2482" w:rsidRPr="008A2482" w:rsidRDefault="008A2482" w:rsidP="008A2482">
            <w:pPr>
              <w:rPr>
                <w:b/>
                <w:sz w:val="32"/>
              </w:rPr>
            </w:pPr>
            <w:r w:rsidRPr="008A2482">
              <w:rPr>
                <w:b/>
                <w:sz w:val="32"/>
              </w:rPr>
              <w:t>5. Project Team membership and required functional ex</w:t>
            </w:r>
            <w:bookmarkStart w:id="0" w:name="_GoBack"/>
            <w:bookmarkEnd w:id="0"/>
            <w:r w:rsidRPr="008A2482">
              <w:rPr>
                <w:b/>
                <w:sz w:val="32"/>
              </w:rPr>
              <w:t>pertise</w:t>
            </w:r>
          </w:p>
        </w:tc>
      </w:tr>
      <w:tr w:rsidR="008A2482" w:rsidTr="000C52D5">
        <w:tc>
          <w:tcPr>
            <w:tcW w:w="4674" w:type="dxa"/>
            <w:gridSpan w:val="3"/>
            <w:shd w:val="clear" w:color="auto" w:fill="F2F2F2" w:themeFill="background1" w:themeFillShade="F2"/>
          </w:tcPr>
          <w:p w:rsidR="008A2482" w:rsidRDefault="008A2482" w:rsidP="00C67389">
            <w:r>
              <w:t>Membership is open to UN/CEFACT experts with broad knowledge in the area of</w:t>
            </w:r>
            <w:r w:rsidR="00C67389">
              <w:t>:</w:t>
            </w:r>
          </w:p>
        </w:tc>
        <w:tc>
          <w:tcPr>
            <w:tcW w:w="4676" w:type="dxa"/>
            <w:gridSpan w:val="3"/>
            <w:vAlign w:val="center"/>
          </w:tcPr>
          <w:p w:rsidR="008A2482" w:rsidRDefault="00AB2109" w:rsidP="008A2482">
            <w:r>
              <w:t>standards production and awareness of implementer’s expectations, the functions of UN/CEFACT, and its groups.</w:t>
            </w:r>
          </w:p>
        </w:tc>
      </w:tr>
      <w:tr w:rsidR="008A2482" w:rsidTr="00C67389">
        <w:tc>
          <w:tcPr>
            <w:tcW w:w="9350" w:type="dxa"/>
            <w:gridSpan w:val="6"/>
            <w:shd w:val="clear" w:color="auto" w:fill="F2F2F2" w:themeFill="background1" w:themeFillShade="F2"/>
          </w:tcPr>
          <w:p w:rsidR="00C67389" w:rsidRDefault="00C67389">
            <w:r w:rsidRPr="00C67389">
              <w:lastRenderedPageBreak/>
              <w:t>In addition, Heads of Delegations may invite technical experts from their constituency to participate in the work.</w:t>
            </w:r>
          </w:p>
          <w:p w:rsidR="00C67389" w:rsidRDefault="00C67389">
            <w:r w:rsidRPr="00C67389">
              <w:t>Experts are expected to contribute to the work based solely on their expertise and to comply with the UN/CEFACT Code of Conduct and Ethics and the policy on Intellectual Property Rights.</w:t>
            </w:r>
          </w:p>
        </w:tc>
      </w:tr>
      <w:tr w:rsidR="000C52D5" w:rsidTr="000C52D5">
        <w:tc>
          <w:tcPr>
            <w:tcW w:w="9350" w:type="dxa"/>
            <w:gridSpan w:val="6"/>
            <w:shd w:val="clear" w:color="auto" w:fill="D9D9D9" w:themeFill="background1" w:themeFillShade="D9"/>
            <w:vAlign w:val="center"/>
          </w:tcPr>
          <w:p w:rsidR="000C52D5" w:rsidRDefault="000C52D5" w:rsidP="000C52D5">
            <w:pPr>
              <w:rPr>
                <w:b/>
                <w:sz w:val="32"/>
              </w:rPr>
            </w:pPr>
            <w:r w:rsidRPr="000C52D5">
              <w:rPr>
                <w:b/>
                <w:sz w:val="32"/>
              </w:rPr>
              <w:t xml:space="preserve">6. </w:t>
            </w:r>
            <w:proofErr w:type="spellStart"/>
            <w:r w:rsidRPr="000C52D5">
              <w:rPr>
                <w:b/>
                <w:sz w:val="32"/>
              </w:rPr>
              <w:t>HoD</w:t>
            </w:r>
            <w:proofErr w:type="spellEnd"/>
            <w:r w:rsidRPr="000C52D5">
              <w:rPr>
                <w:b/>
                <w:sz w:val="32"/>
              </w:rPr>
              <w:t xml:space="preserve"> support</w:t>
            </w:r>
          </w:p>
          <w:p w:rsidR="00976DE7" w:rsidRPr="00976DE7" w:rsidRDefault="000C52D5" w:rsidP="000C52D5">
            <w:pPr>
              <w:rPr>
                <w:i/>
              </w:rPr>
            </w:pPr>
            <w:r w:rsidRPr="00976DE7">
              <w:rPr>
                <w:i/>
              </w:rPr>
              <w:t>Required for Technical Standards, Business Standards and UNECE Recommendations. And at the request of the UN/CEFACT Bureau.</w:t>
            </w:r>
          </w:p>
          <w:p w:rsidR="00976DE7" w:rsidRPr="00976DE7" w:rsidRDefault="00976DE7" w:rsidP="000C52D5">
            <w:pPr>
              <w:rPr>
                <w:i/>
              </w:rPr>
            </w:pPr>
            <w:r w:rsidRPr="00976DE7">
              <w:rPr>
                <w:i/>
              </w:rPr>
              <w:t xml:space="preserve">Projects that require </w:t>
            </w:r>
            <w:proofErr w:type="spellStart"/>
            <w:r w:rsidRPr="00976DE7">
              <w:rPr>
                <w:i/>
              </w:rPr>
              <w:t>HoD</w:t>
            </w:r>
            <w:proofErr w:type="spellEnd"/>
            <w:r w:rsidRPr="00976DE7">
              <w:rPr>
                <w:i/>
              </w:rPr>
              <w:t xml:space="preserve"> support must obtain this within 6 months of Bureau provisional approval.</w:t>
            </w:r>
          </w:p>
        </w:tc>
      </w:tr>
      <w:tr w:rsidR="008A2482" w:rsidTr="000C52D5">
        <w:tc>
          <w:tcPr>
            <w:tcW w:w="2337" w:type="dxa"/>
            <w:gridSpan w:val="2"/>
          </w:tcPr>
          <w:p w:rsidR="008A2482" w:rsidRDefault="008A2482"/>
        </w:tc>
        <w:tc>
          <w:tcPr>
            <w:tcW w:w="2337" w:type="dxa"/>
          </w:tcPr>
          <w:p w:rsidR="008A2482" w:rsidRDefault="008A2482"/>
        </w:tc>
        <w:tc>
          <w:tcPr>
            <w:tcW w:w="2338" w:type="dxa"/>
            <w:gridSpan w:val="2"/>
          </w:tcPr>
          <w:p w:rsidR="008A2482" w:rsidRDefault="008A2482"/>
        </w:tc>
        <w:tc>
          <w:tcPr>
            <w:tcW w:w="2338" w:type="dxa"/>
          </w:tcPr>
          <w:p w:rsidR="008A2482" w:rsidRDefault="008A2482"/>
        </w:tc>
      </w:tr>
      <w:tr w:rsidR="000C52D5" w:rsidRPr="000C52D5" w:rsidTr="000C52D5">
        <w:tc>
          <w:tcPr>
            <w:tcW w:w="9350" w:type="dxa"/>
            <w:gridSpan w:val="6"/>
            <w:shd w:val="clear" w:color="auto" w:fill="D9D9D9" w:themeFill="background1" w:themeFillShade="D9"/>
            <w:vAlign w:val="center"/>
          </w:tcPr>
          <w:p w:rsidR="00C67389" w:rsidRPr="000C52D5" w:rsidRDefault="000C52D5" w:rsidP="000C52D5">
            <w:pPr>
              <w:rPr>
                <w:b/>
                <w:sz w:val="32"/>
              </w:rPr>
            </w:pPr>
            <w:r w:rsidRPr="000C52D5">
              <w:rPr>
                <w:b/>
                <w:sz w:val="32"/>
              </w:rPr>
              <w:t>7. Geographical focus</w:t>
            </w:r>
          </w:p>
        </w:tc>
      </w:tr>
      <w:tr w:rsidR="000C52D5" w:rsidTr="000C52D5">
        <w:tc>
          <w:tcPr>
            <w:tcW w:w="9350" w:type="dxa"/>
            <w:gridSpan w:val="6"/>
            <w:shd w:val="clear" w:color="auto" w:fill="F2F2F2" w:themeFill="background1" w:themeFillShade="F2"/>
            <w:vAlign w:val="center"/>
          </w:tcPr>
          <w:p w:rsidR="000C52D5" w:rsidRDefault="000C52D5" w:rsidP="000C52D5">
            <w:r>
              <w:t>The geographical focus of the project is global</w:t>
            </w:r>
          </w:p>
        </w:tc>
      </w:tr>
      <w:tr w:rsidR="000C52D5" w:rsidRPr="000C52D5" w:rsidTr="000C52D5">
        <w:tc>
          <w:tcPr>
            <w:tcW w:w="9350" w:type="dxa"/>
            <w:gridSpan w:val="6"/>
            <w:shd w:val="clear" w:color="auto" w:fill="D9D9D9" w:themeFill="background1" w:themeFillShade="D9"/>
            <w:vAlign w:val="center"/>
          </w:tcPr>
          <w:p w:rsidR="000C52D5" w:rsidRPr="000C52D5" w:rsidRDefault="000C52D5" w:rsidP="000C52D5">
            <w:pPr>
              <w:rPr>
                <w:b/>
                <w:sz w:val="32"/>
              </w:rPr>
            </w:pPr>
            <w:r w:rsidRPr="000C52D5">
              <w:rPr>
                <w:b/>
                <w:sz w:val="32"/>
              </w:rPr>
              <w:t xml:space="preserve">8. </w:t>
            </w:r>
            <w:proofErr w:type="spellStart"/>
            <w:r w:rsidRPr="000C52D5">
              <w:rPr>
                <w:b/>
                <w:sz w:val="32"/>
              </w:rPr>
              <w:t>Intial</w:t>
            </w:r>
            <w:proofErr w:type="spellEnd"/>
            <w:r w:rsidRPr="000C52D5">
              <w:rPr>
                <w:b/>
                <w:sz w:val="32"/>
              </w:rPr>
              <w:t xml:space="preserve"> contributions</w:t>
            </w:r>
          </w:p>
        </w:tc>
      </w:tr>
      <w:tr w:rsidR="000C52D5" w:rsidTr="000C52D5">
        <w:tc>
          <w:tcPr>
            <w:tcW w:w="9350" w:type="dxa"/>
            <w:gridSpan w:val="6"/>
            <w:shd w:val="clear" w:color="auto" w:fill="F2F2F2" w:themeFill="background1" w:themeFillShade="F2"/>
          </w:tcPr>
          <w:p w:rsidR="000C52D5" w:rsidRDefault="000C52D5" w:rsidP="000C52D5">
            <w:r>
              <w:t xml:space="preserve">The following contributions are submitted as part of this proposal. It is understood that these contributions are only for consideration by the Project Team and that other participants may submit additional contributions in order to ensure that as much information as possible is obtained from those with expertise and </w:t>
            </w:r>
            <w:proofErr w:type="gramStart"/>
            <w:r>
              <w:t>a  material</w:t>
            </w:r>
            <w:proofErr w:type="gramEnd"/>
            <w:r>
              <w:t xml:space="preserve"> interest in the project. It is also understood that the Project Team may choose to adopt one or more of these contributions “as is”.</w:t>
            </w:r>
          </w:p>
        </w:tc>
      </w:tr>
      <w:tr w:rsidR="00C67389" w:rsidRPr="00C67389" w:rsidTr="000C52D5">
        <w:tc>
          <w:tcPr>
            <w:tcW w:w="9350" w:type="dxa"/>
            <w:gridSpan w:val="6"/>
            <w:shd w:val="clear" w:color="auto" w:fill="F2F2F2" w:themeFill="background1" w:themeFillShade="F2"/>
          </w:tcPr>
          <w:p w:rsidR="00C67389" w:rsidRPr="00C67389" w:rsidRDefault="00C67389" w:rsidP="000C52D5">
            <w:pPr>
              <w:rPr>
                <w:b/>
                <w:i/>
              </w:rPr>
            </w:pPr>
            <w:r w:rsidRPr="00C67389">
              <w:rPr>
                <w:b/>
                <w:i/>
              </w:rPr>
              <w:t>List any initial contributions:</w:t>
            </w:r>
          </w:p>
        </w:tc>
      </w:tr>
      <w:tr w:rsidR="000C52D5" w:rsidTr="000C52D5">
        <w:trPr>
          <w:trHeight w:val="576"/>
        </w:trPr>
        <w:tc>
          <w:tcPr>
            <w:tcW w:w="9350" w:type="dxa"/>
            <w:gridSpan w:val="6"/>
          </w:tcPr>
          <w:p w:rsidR="00AB2109" w:rsidRDefault="00AB2109" w:rsidP="00AB2109">
            <w:pPr>
              <w:pStyle w:val="a4"/>
              <w:numPr>
                <w:ilvl w:val="0"/>
                <w:numId w:val="1"/>
              </w:numPr>
            </w:pPr>
            <w:r>
              <w:t xml:space="preserve">Business Requirement Specification (BRS) Cross Industry </w:t>
            </w:r>
            <w:proofErr w:type="spellStart"/>
            <w:r>
              <w:t>Despatch</w:t>
            </w:r>
            <w:proofErr w:type="spellEnd"/>
            <w:r>
              <w:t xml:space="preserve"> and Receive Process 1.00.13, issued February 2009.</w:t>
            </w:r>
          </w:p>
          <w:p w:rsidR="00AB2109" w:rsidRDefault="00AB2109" w:rsidP="00AB2109">
            <w:pPr>
              <w:pStyle w:val="a4"/>
              <w:numPr>
                <w:ilvl w:val="0"/>
                <w:numId w:val="1"/>
              </w:numPr>
            </w:pPr>
            <w:r>
              <w:t>Requirement Mapping Specification (RSM) Cross Industry Delivery Process v2.00.00, issued September 2010.</w:t>
            </w:r>
          </w:p>
          <w:p w:rsidR="00AB2109" w:rsidRDefault="00AB2109" w:rsidP="00AB2109">
            <w:pPr>
              <w:pStyle w:val="a4"/>
              <w:numPr>
                <w:ilvl w:val="0"/>
                <w:numId w:val="1"/>
              </w:numPr>
            </w:pPr>
            <w:r>
              <w:t>Requirement Mapping Specification (RSM) CCBDA Cross Industry Delivery Process v3.0, issued June 2017.</w:t>
            </w:r>
          </w:p>
          <w:p w:rsidR="00AB2109" w:rsidRDefault="00AB2109" w:rsidP="00AB2109">
            <w:pPr>
              <w:pStyle w:val="a4"/>
              <w:numPr>
                <w:ilvl w:val="0"/>
                <w:numId w:val="1"/>
              </w:numPr>
            </w:pPr>
            <w:r>
              <w:t>Harmonized BIEs of UN/CEFACT CCL.</w:t>
            </w:r>
          </w:p>
          <w:p w:rsidR="00AB2109" w:rsidRDefault="00AB2109" w:rsidP="00AB2109">
            <w:pPr>
              <w:pStyle w:val="a4"/>
              <w:numPr>
                <w:ilvl w:val="0"/>
                <w:numId w:val="1"/>
              </w:numPr>
            </w:pPr>
            <w:r>
              <w:t>Published SCRDM, based on the latest CCL.</w:t>
            </w:r>
          </w:p>
          <w:p w:rsidR="00AB2109" w:rsidRDefault="00AB2109" w:rsidP="00AB2109">
            <w:pPr>
              <w:pStyle w:val="a4"/>
              <w:numPr>
                <w:ilvl w:val="0"/>
                <w:numId w:val="1"/>
              </w:numPr>
            </w:pPr>
            <w:r>
              <w:t xml:space="preserve">Published document-centric </w:t>
            </w:r>
            <w:proofErr w:type="spellStart"/>
            <w:r>
              <w:t>Despatch</w:t>
            </w:r>
            <w:proofErr w:type="spellEnd"/>
            <w:r>
              <w:t xml:space="preserve"> XML schemas, based on the latest CCL.</w:t>
            </w:r>
          </w:p>
          <w:p w:rsidR="00AB2109" w:rsidRDefault="00AB2109" w:rsidP="00AB2109">
            <w:pPr>
              <w:pStyle w:val="a4"/>
              <w:numPr>
                <w:ilvl w:val="0"/>
                <w:numId w:val="1"/>
              </w:numPr>
            </w:pPr>
            <w:r>
              <w:t>Procedures for Reference Data Model (RDM) &amp; Associated Artefacts Publication, draft v1.0.0.9.</w:t>
            </w:r>
          </w:p>
          <w:p w:rsidR="000C52D5" w:rsidRDefault="00AB2109" w:rsidP="00AB2109">
            <w:pPr>
              <w:pStyle w:val="a4"/>
              <w:numPr>
                <w:ilvl w:val="0"/>
                <w:numId w:val="1"/>
              </w:numPr>
            </w:pPr>
            <w:r>
              <w:t>Requirement Mapping Specification (RSM) Boost Aero Industries BAI v2.10 b CI Receipt Advice UN/CEFACT CCL09B</w:t>
            </w:r>
          </w:p>
          <w:p w:rsidR="00C67389" w:rsidRDefault="00C67389" w:rsidP="00C67389">
            <w:pPr>
              <w:pStyle w:val="a4"/>
              <w:numPr>
                <w:ilvl w:val="0"/>
                <w:numId w:val="1"/>
              </w:numPr>
            </w:pPr>
          </w:p>
        </w:tc>
      </w:tr>
      <w:tr w:rsidR="000C52D5" w:rsidRPr="000C52D5" w:rsidTr="000C52D5">
        <w:tc>
          <w:tcPr>
            <w:tcW w:w="9350" w:type="dxa"/>
            <w:gridSpan w:val="6"/>
            <w:shd w:val="clear" w:color="auto" w:fill="D9D9D9" w:themeFill="background1" w:themeFillShade="D9"/>
            <w:vAlign w:val="center"/>
          </w:tcPr>
          <w:p w:rsidR="000C52D5" w:rsidRPr="000C52D5" w:rsidRDefault="000C52D5" w:rsidP="000C52D5">
            <w:pPr>
              <w:rPr>
                <w:b/>
                <w:sz w:val="32"/>
              </w:rPr>
            </w:pPr>
            <w:r w:rsidRPr="000C52D5">
              <w:rPr>
                <w:b/>
                <w:sz w:val="32"/>
              </w:rPr>
              <w:t xml:space="preserve">9. </w:t>
            </w:r>
            <w:proofErr w:type="spellStart"/>
            <w:r w:rsidRPr="000C52D5">
              <w:rPr>
                <w:b/>
                <w:sz w:val="32"/>
              </w:rPr>
              <w:t>Ressource</w:t>
            </w:r>
            <w:proofErr w:type="spellEnd"/>
            <w:r w:rsidRPr="000C52D5">
              <w:rPr>
                <w:b/>
                <w:sz w:val="32"/>
              </w:rPr>
              <w:t xml:space="preserve"> requirements</w:t>
            </w:r>
          </w:p>
        </w:tc>
      </w:tr>
      <w:tr w:rsidR="000C52D5" w:rsidTr="000C52D5">
        <w:tc>
          <w:tcPr>
            <w:tcW w:w="9350" w:type="dxa"/>
            <w:gridSpan w:val="6"/>
            <w:shd w:val="clear" w:color="auto" w:fill="F2F2F2" w:themeFill="background1" w:themeFillShade="F2"/>
          </w:tcPr>
          <w:p w:rsidR="000C52D5" w:rsidRDefault="000C52D5" w:rsidP="000C52D5">
            <w:r>
              <w:t>Participants in the project shall provide resources for their own participation. The existence and functioning of the project shall not require any additional resources from the UNECE secretariat.</w:t>
            </w:r>
          </w:p>
        </w:tc>
      </w:tr>
      <w:tr w:rsidR="00C67389" w:rsidTr="00C67389">
        <w:trPr>
          <w:trHeight w:val="576"/>
        </w:trPr>
        <w:tc>
          <w:tcPr>
            <w:tcW w:w="1168" w:type="dxa"/>
            <w:shd w:val="clear" w:color="auto" w:fill="F2F2F2" w:themeFill="background1" w:themeFillShade="F2"/>
            <w:vAlign w:val="center"/>
          </w:tcPr>
          <w:p w:rsidR="00C67389" w:rsidRDefault="00C67389" w:rsidP="00C67389">
            <w:r>
              <w:t>Any additional request:</w:t>
            </w:r>
          </w:p>
        </w:tc>
        <w:tc>
          <w:tcPr>
            <w:tcW w:w="8183" w:type="dxa"/>
            <w:gridSpan w:val="5"/>
            <w:vAlign w:val="center"/>
          </w:tcPr>
          <w:p w:rsidR="00C67389" w:rsidRDefault="00AB2109" w:rsidP="00C67389">
            <w:r w:rsidRPr="00AB2109">
              <w:t>Establishing and maintaining the project team's Web site pages with appropriate links, document download facilities, and items of interest</w:t>
            </w:r>
          </w:p>
        </w:tc>
      </w:tr>
      <w:tr w:rsidR="000C52D5" w:rsidRPr="000C52D5" w:rsidTr="000C52D5">
        <w:tc>
          <w:tcPr>
            <w:tcW w:w="9350" w:type="dxa"/>
            <w:gridSpan w:val="6"/>
            <w:shd w:val="clear" w:color="auto" w:fill="D9D9D9" w:themeFill="background1" w:themeFillShade="D9"/>
            <w:vAlign w:val="center"/>
          </w:tcPr>
          <w:p w:rsidR="000C52D5" w:rsidRPr="000C52D5" w:rsidRDefault="000C52D5" w:rsidP="000C52D5">
            <w:pPr>
              <w:rPr>
                <w:b/>
                <w:sz w:val="32"/>
              </w:rPr>
            </w:pPr>
            <w:r w:rsidRPr="000C52D5">
              <w:rPr>
                <w:b/>
                <w:sz w:val="32"/>
              </w:rPr>
              <w:t>10. Proposed project leadership</w:t>
            </w:r>
          </w:p>
        </w:tc>
      </w:tr>
      <w:tr w:rsidR="000C52D5" w:rsidTr="00C67389">
        <w:tc>
          <w:tcPr>
            <w:tcW w:w="1167" w:type="dxa"/>
            <w:shd w:val="clear" w:color="auto" w:fill="F2F2F2" w:themeFill="background1" w:themeFillShade="F2"/>
          </w:tcPr>
          <w:p w:rsidR="000C52D5" w:rsidRDefault="000C52D5">
            <w:r>
              <w:t>Proposed:</w:t>
            </w:r>
          </w:p>
        </w:tc>
        <w:tc>
          <w:tcPr>
            <w:tcW w:w="3507" w:type="dxa"/>
            <w:gridSpan w:val="2"/>
          </w:tcPr>
          <w:p w:rsidR="000C52D5" w:rsidRDefault="000C52D5"/>
        </w:tc>
        <w:tc>
          <w:tcPr>
            <w:tcW w:w="1169" w:type="dxa"/>
            <w:shd w:val="clear" w:color="auto" w:fill="F2F2F2" w:themeFill="background1" w:themeFillShade="F2"/>
          </w:tcPr>
          <w:p w:rsidR="000C52D5" w:rsidRDefault="000C52D5">
            <w:r>
              <w:t>E-mail:</w:t>
            </w:r>
          </w:p>
        </w:tc>
        <w:tc>
          <w:tcPr>
            <w:tcW w:w="3507" w:type="dxa"/>
            <w:gridSpan w:val="2"/>
            <w:vAlign w:val="center"/>
          </w:tcPr>
          <w:p w:rsidR="000C52D5" w:rsidRDefault="000C52D5" w:rsidP="000C52D5"/>
        </w:tc>
      </w:tr>
      <w:tr w:rsidR="000C52D5" w:rsidTr="00C67389">
        <w:tc>
          <w:tcPr>
            <w:tcW w:w="1167" w:type="dxa"/>
            <w:shd w:val="clear" w:color="auto" w:fill="F2F2F2" w:themeFill="background1" w:themeFillShade="F2"/>
          </w:tcPr>
          <w:p w:rsidR="000C52D5" w:rsidRDefault="000C52D5" w:rsidP="000C52D5">
            <w:r>
              <w:t>Proposed:</w:t>
            </w:r>
          </w:p>
        </w:tc>
        <w:tc>
          <w:tcPr>
            <w:tcW w:w="3507" w:type="dxa"/>
            <w:gridSpan w:val="2"/>
          </w:tcPr>
          <w:p w:rsidR="000C52D5" w:rsidRDefault="000C52D5" w:rsidP="000C52D5"/>
        </w:tc>
        <w:tc>
          <w:tcPr>
            <w:tcW w:w="1169" w:type="dxa"/>
            <w:shd w:val="clear" w:color="auto" w:fill="F2F2F2" w:themeFill="background1" w:themeFillShade="F2"/>
          </w:tcPr>
          <w:p w:rsidR="000C52D5" w:rsidRDefault="000C52D5" w:rsidP="000C52D5">
            <w:r>
              <w:t>E-mail:</w:t>
            </w:r>
          </w:p>
        </w:tc>
        <w:tc>
          <w:tcPr>
            <w:tcW w:w="3507" w:type="dxa"/>
            <w:gridSpan w:val="2"/>
            <w:vAlign w:val="center"/>
          </w:tcPr>
          <w:p w:rsidR="000C52D5" w:rsidRDefault="000C52D5" w:rsidP="000C52D5"/>
        </w:tc>
      </w:tr>
      <w:tr w:rsidR="000C52D5" w:rsidRPr="000C52D5" w:rsidTr="000C52D5">
        <w:tc>
          <w:tcPr>
            <w:tcW w:w="9350" w:type="dxa"/>
            <w:gridSpan w:val="6"/>
            <w:shd w:val="clear" w:color="auto" w:fill="D9D9D9" w:themeFill="background1" w:themeFillShade="D9"/>
          </w:tcPr>
          <w:p w:rsidR="000C52D5" w:rsidRPr="000C52D5" w:rsidRDefault="000C52D5" w:rsidP="000C52D5">
            <w:pPr>
              <w:rPr>
                <w:b/>
                <w:sz w:val="32"/>
              </w:rPr>
            </w:pPr>
            <w:r w:rsidRPr="000C52D5">
              <w:rPr>
                <w:b/>
                <w:sz w:val="32"/>
              </w:rPr>
              <w:t>11. Milestones (repeat for each deliverable, if different)</w:t>
            </w:r>
          </w:p>
        </w:tc>
      </w:tr>
    </w:tbl>
    <w:p w:rsidR="00C67389" w:rsidRPr="00CE15C0" w:rsidRDefault="00C67389" w:rsidP="00C67389">
      <w:pPr>
        <w:spacing w:line="240" w:lineRule="auto"/>
        <w:jc w:val="both"/>
        <w:rPr>
          <w:rFonts w:ascii="Times New Roman" w:hAnsi="Times New Roman" w:cs="Times New Roman"/>
          <w:sz w:val="24"/>
          <w:szCs w:val="24"/>
        </w:rPr>
      </w:pPr>
      <w:r w:rsidRPr="00CE15C0">
        <w:rPr>
          <w:rFonts w:ascii="Times New Roman" w:hAnsi="Times New Roman" w:cs="Times New Roman"/>
          <w:sz w:val="24"/>
          <w:szCs w:val="24"/>
        </w:rPr>
        <w:t>The following are draft milestones of the project.</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5670"/>
        <w:gridCol w:w="2835"/>
      </w:tblGrid>
      <w:tr w:rsidR="00C67389" w:rsidRPr="00190063" w:rsidTr="00C67389">
        <w:trPr>
          <w:jc w:val="center"/>
        </w:trPr>
        <w:tc>
          <w:tcPr>
            <w:tcW w:w="1101" w:type="dxa"/>
            <w:shd w:val="clear" w:color="auto" w:fill="F2F2F2" w:themeFill="background1" w:themeFillShade="F2"/>
            <w:vAlign w:val="center"/>
          </w:tcPr>
          <w:p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Yes/No</w:t>
            </w:r>
          </w:p>
        </w:tc>
        <w:tc>
          <w:tcPr>
            <w:tcW w:w="5670" w:type="dxa"/>
            <w:shd w:val="clear" w:color="auto" w:fill="F2F2F2" w:themeFill="background1" w:themeFillShade="F2"/>
            <w:vAlign w:val="center"/>
          </w:tcPr>
          <w:p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ODP Stage</w:t>
            </w:r>
          </w:p>
        </w:tc>
        <w:tc>
          <w:tcPr>
            <w:tcW w:w="2835" w:type="dxa"/>
            <w:shd w:val="clear" w:color="auto" w:fill="F2F2F2" w:themeFill="background1" w:themeFillShade="F2"/>
            <w:vAlign w:val="center"/>
          </w:tcPr>
          <w:p w:rsidR="00C67389" w:rsidRPr="00190063" w:rsidRDefault="00C67389" w:rsidP="00D03BA3">
            <w:pPr>
              <w:spacing w:line="240" w:lineRule="auto"/>
              <w:jc w:val="center"/>
              <w:rPr>
                <w:rFonts w:ascii="Times New Roman" w:hAnsi="Times New Roman" w:cs="Times New Roman"/>
                <w:sz w:val="24"/>
                <w:szCs w:val="24"/>
              </w:rPr>
            </w:pPr>
            <w:r w:rsidRPr="00190063">
              <w:rPr>
                <w:rFonts w:ascii="Times New Roman" w:hAnsi="Times New Roman" w:cs="Times New Roman"/>
                <w:sz w:val="24"/>
                <w:szCs w:val="24"/>
              </w:rPr>
              <w:t>Expected Completion Date</w:t>
            </w:r>
          </w:p>
          <w:p w:rsidR="00C67389" w:rsidRPr="00C67389" w:rsidRDefault="00C67389" w:rsidP="00D03BA3">
            <w:pPr>
              <w:spacing w:line="240" w:lineRule="auto"/>
              <w:jc w:val="center"/>
              <w:rPr>
                <w:rFonts w:ascii="Times New Roman" w:hAnsi="Times New Roman" w:cs="Times New Roman"/>
                <w:b/>
                <w:i/>
                <w:sz w:val="24"/>
                <w:szCs w:val="24"/>
              </w:rPr>
            </w:pPr>
            <w:r w:rsidRPr="00C67389">
              <w:rPr>
                <w:rFonts w:ascii="Times New Roman" w:hAnsi="Times New Roman" w:cs="Times New Roman"/>
                <w:b/>
                <w:i/>
                <w:szCs w:val="24"/>
              </w:rPr>
              <w:lastRenderedPageBreak/>
              <w:t>(Approval + XX months)</w:t>
            </w:r>
          </w:p>
        </w:tc>
      </w:tr>
      <w:tr w:rsidR="00C67389" w:rsidRPr="00190063" w:rsidTr="00C67389">
        <w:trPr>
          <w:jc w:val="center"/>
        </w:trPr>
        <w:tc>
          <w:tcPr>
            <w:tcW w:w="1101" w:type="dxa"/>
            <w:shd w:val="clear" w:color="auto" w:fill="auto"/>
            <w:vAlign w:val="center"/>
          </w:tcPr>
          <w:p w:rsidR="00C67389" w:rsidRPr="00190063" w:rsidRDefault="00AB2109" w:rsidP="00D03BA3">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Yes</w:t>
            </w:r>
          </w:p>
        </w:tc>
        <w:tc>
          <w:tcPr>
            <w:tcW w:w="5670" w:type="dxa"/>
            <w:shd w:val="clear" w:color="auto" w:fill="F2F2F2" w:themeFill="background1" w:themeFillShade="F2"/>
            <w:vAlign w:val="center"/>
          </w:tcPr>
          <w:p w:rsidR="00C67389" w:rsidRPr="00190063" w:rsidRDefault="00C67389" w:rsidP="00D03BA3">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Inception</w:t>
            </w:r>
          </w:p>
        </w:tc>
        <w:tc>
          <w:tcPr>
            <w:tcW w:w="2835" w:type="dxa"/>
            <w:shd w:val="clear" w:color="auto" w:fill="auto"/>
            <w:vAlign w:val="center"/>
          </w:tcPr>
          <w:p w:rsidR="00C67389" w:rsidRPr="00190063" w:rsidRDefault="00C67389" w:rsidP="00D03BA3">
            <w:pPr>
              <w:spacing w:line="240" w:lineRule="auto"/>
              <w:rPr>
                <w:rFonts w:ascii="Times New Roman" w:hAnsi="Times New Roman" w:cs="Times New Roman"/>
                <w:sz w:val="24"/>
                <w:szCs w:val="24"/>
              </w:rPr>
            </w:pPr>
          </w:p>
        </w:tc>
      </w:tr>
      <w:tr w:rsidR="00AB2109" w:rsidRPr="00190063" w:rsidTr="001D5904">
        <w:trPr>
          <w:jc w:val="center"/>
        </w:trPr>
        <w:tc>
          <w:tcPr>
            <w:tcW w:w="1101" w:type="dxa"/>
            <w:shd w:val="clear" w:color="auto" w:fill="auto"/>
            <w:vAlign w:val="center"/>
          </w:tcPr>
          <w:p w:rsidR="00AB2109" w:rsidRPr="00190063" w:rsidRDefault="00AB2109" w:rsidP="00AB2109">
            <w:pPr>
              <w:spacing w:line="240" w:lineRule="auto"/>
              <w:rPr>
                <w:rFonts w:ascii="Times New Roman" w:hAnsi="Times New Roman" w:cs="Times New Roman"/>
                <w:sz w:val="24"/>
                <w:szCs w:val="24"/>
              </w:rPr>
            </w:pPr>
            <w:r>
              <w:rPr>
                <w:rFonts w:ascii="Times New Roman" w:hAnsi="Times New Roman" w:cs="Times New Roman"/>
                <w:sz w:val="24"/>
                <w:szCs w:val="24"/>
              </w:rPr>
              <w:t>No</w:t>
            </w:r>
          </w:p>
        </w:tc>
        <w:tc>
          <w:tcPr>
            <w:tcW w:w="5670" w:type="dxa"/>
            <w:shd w:val="clear" w:color="auto" w:fill="F2F2F2" w:themeFill="background1" w:themeFillShade="F2"/>
            <w:vAlign w:val="center"/>
          </w:tcPr>
          <w:p w:rsidR="00AB2109" w:rsidRPr="00190063" w:rsidRDefault="00AB2109" w:rsidP="00AB2109">
            <w:pPr>
              <w:spacing w:line="240" w:lineRule="auto"/>
              <w:rPr>
                <w:rFonts w:ascii="Times New Roman" w:hAnsi="Times New Roman" w:cs="Times New Roman"/>
                <w:sz w:val="24"/>
                <w:szCs w:val="24"/>
              </w:rPr>
            </w:pPr>
            <w:r w:rsidRPr="00190063">
              <w:rPr>
                <w:rFonts w:ascii="Times New Roman" w:hAnsi="Times New Roman" w:cs="Times New Roman"/>
                <w:sz w:val="24"/>
                <w:szCs w:val="24"/>
              </w:rPr>
              <w:t>Requirements gathering</w:t>
            </w:r>
          </w:p>
        </w:tc>
        <w:tc>
          <w:tcPr>
            <w:tcW w:w="2835" w:type="dxa"/>
            <w:shd w:val="clear" w:color="auto" w:fill="auto"/>
          </w:tcPr>
          <w:p w:rsidR="00AB2109" w:rsidRPr="006D7F7F" w:rsidRDefault="00AB2109" w:rsidP="00AB2109">
            <w:pPr>
              <w:pStyle w:val="TableContents"/>
              <w:snapToGrid w:val="0"/>
              <w:spacing w:before="40" w:after="120" w:line="240" w:lineRule="atLeast"/>
              <w:rPr>
                <w:sz w:val="20"/>
                <w:szCs w:val="20"/>
                <w:lang w:val="en-GB"/>
              </w:rPr>
            </w:pPr>
            <w:r w:rsidRPr="00A11533">
              <w:rPr>
                <w:sz w:val="20"/>
                <w:szCs w:val="20"/>
                <w:lang w:val="en-GB"/>
              </w:rPr>
              <w:t>PI + 0</w:t>
            </w:r>
            <w:r w:rsidRPr="006D7F7F">
              <w:rPr>
                <w:sz w:val="20"/>
                <w:szCs w:val="20"/>
                <w:lang w:val="en-GB"/>
              </w:rPr>
              <w:t xml:space="preserve"> month</w:t>
            </w:r>
          </w:p>
        </w:tc>
      </w:tr>
      <w:tr w:rsidR="00AB2109" w:rsidRPr="00190063" w:rsidTr="001D5904">
        <w:trPr>
          <w:jc w:val="center"/>
        </w:trPr>
        <w:tc>
          <w:tcPr>
            <w:tcW w:w="1101" w:type="dxa"/>
            <w:shd w:val="clear" w:color="auto" w:fill="auto"/>
            <w:vAlign w:val="center"/>
          </w:tcPr>
          <w:p w:rsidR="00AB2109" w:rsidRPr="00190063" w:rsidRDefault="00AB2109" w:rsidP="00AB2109">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AB2109" w:rsidRPr="00190063" w:rsidRDefault="00AB2109" w:rsidP="00AB2109">
            <w:pPr>
              <w:spacing w:line="240" w:lineRule="auto"/>
              <w:rPr>
                <w:rFonts w:ascii="Times New Roman" w:hAnsi="Times New Roman" w:cs="Times New Roman"/>
                <w:sz w:val="24"/>
                <w:szCs w:val="24"/>
              </w:rPr>
            </w:pPr>
            <w:r w:rsidRPr="00190063">
              <w:rPr>
                <w:rFonts w:ascii="Times New Roman" w:hAnsi="Times New Roman" w:cs="Times New Roman"/>
                <w:sz w:val="24"/>
                <w:szCs w:val="24"/>
              </w:rPr>
              <w:t>Draft development</w:t>
            </w:r>
          </w:p>
        </w:tc>
        <w:tc>
          <w:tcPr>
            <w:tcW w:w="2835" w:type="dxa"/>
            <w:shd w:val="clear" w:color="auto" w:fill="auto"/>
          </w:tcPr>
          <w:p w:rsidR="00AB2109" w:rsidRPr="006D7F7F" w:rsidRDefault="00AB2109" w:rsidP="00AB2109">
            <w:pPr>
              <w:pStyle w:val="TableContents"/>
              <w:snapToGrid w:val="0"/>
              <w:rPr>
                <w:sz w:val="20"/>
                <w:szCs w:val="20"/>
                <w:lang w:val="en-GB"/>
              </w:rPr>
            </w:pPr>
            <w:r w:rsidRPr="006D7F7F">
              <w:rPr>
                <w:sz w:val="20"/>
                <w:szCs w:val="20"/>
                <w:lang w:val="en-GB"/>
              </w:rPr>
              <w:t xml:space="preserve">RG + </w:t>
            </w:r>
            <w:r>
              <w:rPr>
                <w:sz w:val="20"/>
                <w:szCs w:val="20"/>
                <w:lang w:val="en-GB"/>
              </w:rPr>
              <w:t>9</w:t>
            </w:r>
            <w:r w:rsidRPr="006D7F7F">
              <w:rPr>
                <w:sz w:val="20"/>
                <w:szCs w:val="20"/>
                <w:lang w:val="en-GB"/>
              </w:rPr>
              <w:t xml:space="preserve"> months</w:t>
            </w:r>
          </w:p>
        </w:tc>
      </w:tr>
      <w:tr w:rsidR="00AB2109" w:rsidRPr="00190063" w:rsidTr="001D5904">
        <w:trPr>
          <w:jc w:val="center"/>
        </w:trPr>
        <w:tc>
          <w:tcPr>
            <w:tcW w:w="1101" w:type="dxa"/>
            <w:shd w:val="clear" w:color="auto" w:fill="auto"/>
            <w:vAlign w:val="center"/>
          </w:tcPr>
          <w:p w:rsidR="00AB2109" w:rsidRPr="00190063" w:rsidRDefault="00AB2109" w:rsidP="00AB2109">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AB2109" w:rsidRPr="00190063" w:rsidRDefault="00AB2109" w:rsidP="00AB2109">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 Draft Review</w:t>
            </w:r>
          </w:p>
        </w:tc>
        <w:tc>
          <w:tcPr>
            <w:tcW w:w="2835" w:type="dxa"/>
            <w:shd w:val="clear" w:color="auto" w:fill="auto"/>
          </w:tcPr>
          <w:p w:rsidR="00AB2109" w:rsidRPr="006D7F7F" w:rsidRDefault="00AB2109" w:rsidP="00AB2109">
            <w:pPr>
              <w:pStyle w:val="TableContents"/>
              <w:snapToGrid w:val="0"/>
              <w:rPr>
                <w:sz w:val="20"/>
                <w:szCs w:val="20"/>
                <w:lang w:val="en-GB"/>
              </w:rPr>
            </w:pPr>
            <w:r w:rsidRPr="006D7F7F">
              <w:rPr>
                <w:sz w:val="20"/>
                <w:szCs w:val="20"/>
                <w:lang w:val="en-GB"/>
              </w:rPr>
              <w:t>DD + 2 months</w:t>
            </w:r>
            <w:r>
              <w:rPr>
                <w:sz w:val="20"/>
                <w:szCs w:val="20"/>
                <w:lang w:val="en-GB"/>
              </w:rPr>
              <w:t xml:space="preserve"> </w:t>
            </w:r>
          </w:p>
        </w:tc>
      </w:tr>
      <w:tr w:rsidR="00AB2109" w:rsidRPr="00190063" w:rsidTr="001D5904">
        <w:trPr>
          <w:jc w:val="center"/>
        </w:trPr>
        <w:tc>
          <w:tcPr>
            <w:tcW w:w="1101" w:type="dxa"/>
            <w:shd w:val="clear" w:color="auto" w:fill="auto"/>
            <w:vAlign w:val="center"/>
          </w:tcPr>
          <w:p w:rsidR="00AB2109" w:rsidRPr="00190063" w:rsidRDefault="00AB2109" w:rsidP="00AB2109">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AB2109" w:rsidRPr="00190063" w:rsidRDefault="00AB2109" w:rsidP="00AB2109">
            <w:pPr>
              <w:spacing w:line="240" w:lineRule="auto"/>
              <w:rPr>
                <w:rFonts w:ascii="Times New Roman" w:hAnsi="Times New Roman" w:cs="Times New Roman"/>
                <w:sz w:val="24"/>
                <w:szCs w:val="24"/>
              </w:rPr>
            </w:pPr>
            <w:r w:rsidRPr="00190063">
              <w:rPr>
                <w:rFonts w:ascii="Times New Roman" w:hAnsi="Times New Roman" w:cs="Times New Roman"/>
                <w:sz w:val="24"/>
                <w:szCs w:val="24"/>
              </w:rPr>
              <w:t>Project Exit</w:t>
            </w:r>
          </w:p>
        </w:tc>
        <w:tc>
          <w:tcPr>
            <w:tcW w:w="2835" w:type="dxa"/>
            <w:shd w:val="clear" w:color="auto" w:fill="auto"/>
          </w:tcPr>
          <w:p w:rsidR="00AB2109" w:rsidRPr="006D7F7F" w:rsidRDefault="00AB2109" w:rsidP="00AB2109">
            <w:pPr>
              <w:pStyle w:val="TableContents"/>
              <w:snapToGrid w:val="0"/>
              <w:rPr>
                <w:sz w:val="20"/>
                <w:szCs w:val="20"/>
                <w:lang w:val="en-GB"/>
              </w:rPr>
            </w:pPr>
            <w:r w:rsidRPr="006D7F7F">
              <w:rPr>
                <w:sz w:val="20"/>
                <w:szCs w:val="20"/>
                <w:lang w:val="en-GB"/>
              </w:rPr>
              <w:t xml:space="preserve">PDR + </w:t>
            </w:r>
            <w:r>
              <w:rPr>
                <w:sz w:val="20"/>
                <w:szCs w:val="20"/>
                <w:lang w:val="en-GB"/>
              </w:rPr>
              <w:t>1</w:t>
            </w:r>
            <w:r w:rsidRPr="006D7F7F">
              <w:rPr>
                <w:sz w:val="20"/>
                <w:szCs w:val="20"/>
                <w:lang w:val="en-GB"/>
              </w:rPr>
              <w:t xml:space="preserve"> month</w:t>
            </w:r>
            <w:r>
              <w:rPr>
                <w:sz w:val="20"/>
                <w:szCs w:val="20"/>
                <w:lang w:val="en-GB"/>
              </w:rPr>
              <w:t xml:space="preserve"> </w:t>
            </w:r>
          </w:p>
        </w:tc>
      </w:tr>
      <w:tr w:rsidR="00AB2109" w:rsidRPr="00190063" w:rsidTr="001D5904">
        <w:trPr>
          <w:jc w:val="center"/>
        </w:trPr>
        <w:tc>
          <w:tcPr>
            <w:tcW w:w="1101" w:type="dxa"/>
            <w:shd w:val="clear" w:color="auto" w:fill="auto"/>
            <w:vAlign w:val="center"/>
          </w:tcPr>
          <w:p w:rsidR="00AB2109" w:rsidRPr="00190063" w:rsidRDefault="00AB2109" w:rsidP="00AB2109">
            <w:pPr>
              <w:spacing w:line="240" w:lineRule="auto"/>
              <w:rPr>
                <w:rFonts w:ascii="Times New Roman" w:hAnsi="Times New Roman" w:cs="Times New Roman"/>
                <w:sz w:val="24"/>
                <w:szCs w:val="24"/>
              </w:rPr>
            </w:pPr>
            <w:r>
              <w:rPr>
                <w:rFonts w:ascii="Times New Roman" w:hAnsi="Times New Roman" w:cs="Times New Roman"/>
                <w:sz w:val="24"/>
                <w:szCs w:val="24"/>
              </w:rPr>
              <w:t>Yes</w:t>
            </w:r>
          </w:p>
        </w:tc>
        <w:tc>
          <w:tcPr>
            <w:tcW w:w="5670" w:type="dxa"/>
            <w:shd w:val="clear" w:color="auto" w:fill="F2F2F2" w:themeFill="background1" w:themeFillShade="F2"/>
            <w:vAlign w:val="center"/>
          </w:tcPr>
          <w:p w:rsidR="00AB2109" w:rsidRPr="00190063" w:rsidRDefault="00AB2109" w:rsidP="00AB2109">
            <w:pPr>
              <w:spacing w:line="240" w:lineRule="auto"/>
              <w:rPr>
                <w:rFonts w:ascii="Times New Roman" w:hAnsi="Times New Roman" w:cs="Times New Roman"/>
                <w:sz w:val="24"/>
                <w:szCs w:val="24"/>
              </w:rPr>
            </w:pPr>
            <w:r w:rsidRPr="00190063">
              <w:rPr>
                <w:rFonts w:ascii="Times New Roman" w:hAnsi="Times New Roman" w:cs="Times New Roman"/>
                <w:sz w:val="24"/>
                <w:szCs w:val="24"/>
              </w:rPr>
              <w:t>Publication</w:t>
            </w:r>
          </w:p>
        </w:tc>
        <w:tc>
          <w:tcPr>
            <w:tcW w:w="2835" w:type="dxa"/>
            <w:shd w:val="clear" w:color="auto" w:fill="auto"/>
          </w:tcPr>
          <w:p w:rsidR="00AB2109" w:rsidRPr="006D7F7F" w:rsidRDefault="00AB2109" w:rsidP="00AB2109">
            <w:pPr>
              <w:pStyle w:val="TableContents"/>
              <w:snapToGrid w:val="0"/>
              <w:rPr>
                <w:sz w:val="20"/>
                <w:szCs w:val="20"/>
                <w:lang w:val="en-GB"/>
              </w:rPr>
            </w:pPr>
            <w:r w:rsidRPr="006D7F7F">
              <w:rPr>
                <w:sz w:val="20"/>
                <w:szCs w:val="20"/>
                <w:lang w:val="en-GB"/>
              </w:rPr>
              <w:t xml:space="preserve">PE + </w:t>
            </w:r>
            <w:r>
              <w:rPr>
                <w:sz w:val="20"/>
                <w:szCs w:val="20"/>
                <w:lang w:val="en-GB"/>
              </w:rPr>
              <w:t>1</w:t>
            </w:r>
            <w:r w:rsidRPr="006D7F7F">
              <w:rPr>
                <w:sz w:val="20"/>
                <w:szCs w:val="20"/>
                <w:lang w:val="en-GB"/>
              </w:rPr>
              <w:t xml:space="preserve"> month</w:t>
            </w:r>
            <w:r>
              <w:rPr>
                <w:sz w:val="20"/>
                <w:szCs w:val="20"/>
                <w:lang w:val="en-GB"/>
              </w:rPr>
              <w:t xml:space="preserve"> </w:t>
            </w:r>
          </w:p>
        </w:tc>
      </w:tr>
    </w:tbl>
    <w:p w:rsidR="00C67389" w:rsidRDefault="00C67389"/>
    <w:sectPr w:rsidR="00C6738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D45" w:rsidRDefault="001A1D45" w:rsidP="00AB2109">
      <w:pPr>
        <w:spacing w:line="240" w:lineRule="auto"/>
      </w:pPr>
      <w:r>
        <w:separator/>
      </w:r>
    </w:p>
  </w:endnote>
  <w:endnote w:type="continuationSeparator" w:id="0">
    <w:p w:rsidR="001A1D45" w:rsidRDefault="001A1D45" w:rsidP="00AB2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jaVu Sans">
    <w:altName w:val="MS Gothic"/>
    <w:charset w:val="80"/>
    <w:family w:val="auto"/>
    <w:pitch w:val="variable"/>
  </w:font>
  <w:font w:name="Lohit Hindi">
    <w:altName w:val="MS Gothic"/>
    <w:charset w:val="80"/>
    <w:family w:val="auto"/>
    <w:pitch w:val="variable"/>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4292064"/>
      <w:docPartObj>
        <w:docPartGallery w:val="Page Numbers (Bottom of Page)"/>
        <w:docPartUnique/>
      </w:docPartObj>
    </w:sdtPr>
    <w:sdtContent>
      <w:p w:rsidR="0009094A" w:rsidRDefault="0009094A">
        <w:pPr>
          <w:pStyle w:val="a7"/>
          <w:jc w:val="center"/>
        </w:pPr>
        <w:r>
          <w:fldChar w:fldCharType="begin"/>
        </w:r>
        <w:r>
          <w:instrText>PAGE   \* MERGEFORMAT</w:instrText>
        </w:r>
        <w:r>
          <w:fldChar w:fldCharType="separate"/>
        </w:r>
        <w:r>
          <w:rPr>
            <w:lang w:val="ja-JP" w:eastAsia="ja-JP"/>
          </w:rPr>
          <w:t>2</w:t>
        </w:r>
        <w:r>
          <w:fldChar w:fldCharType="end"/>
        </w:r>
      </w:p>
    </w:sdtContent>
  </w:sdt>
  <w:p w:rsidR="0009094A" w:rsidRDefault="0009094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D45" w:rsidRDefault="001A1D45" w:rsidP="00AB2109">
      <w:pPr>
        <w:spacing w:line="240" w:lineRule="auto"/>
      </w:pPr>
      <w:r>
        <w:separator/>
      </w:r>
    </w:p>
  </w:footnote>
  <w:footnote w:type="continuationSeparator" w:id="0">
    <w:p w:rsidR="001A1D45" w:rsidRDefault="001A1D45" w:rsidP="00AB21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94A" w:rsidRDefault="0009094A" w:rsidP="0009094A">
    <w:pPr>
      <w:pStyle w:val="a5"/>
      <w:jc w:val="right"/>
      <w:rPr>
        <w:rFonts w:hint="eastAsia"/>
        <w:lang w:eastAsia="ja-JP"/>
      </w:rPr>
    </w:pPr>
    <w:r>
      <w:rPr>
        <w:rFonts w:hint="eastAsia"/>
        <w:lang w:eastAsia="ja-JP"/>
      </w:rPr>
      <w:t>国際連携</w:t>
    </w:r>
    <w:r>
      <w:rPr>
        <w:rFonts w:hint="eastAsia"/>
        <w:lang w:eastAsia="ja-JP"/>
      </w:rPr>
      <w:t>2</w:t>
    </w:r>
    <w:r>
      <w:rPr>
        <w:lang w:eastAsia="ja-JP"/>
      </w:rPr>
      <w:t>018-4-</w:t>
    </w:r>
    <w:r>
      <w:rPr>
        <w:rFonts w:hint="eastAsia"/>
        <w:lang w:eastAsia="ja-JP"/>
      </w:rPr>
      <w:t>参考（１）</w:t>
    </w:r>
  </w:p>
  <w:p w:rsidR="0009094A" w:rsidRDefault="0009094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010074"/>
    <w:multiLevelType w:val="hybridMultilevel"/>
    <w:tmpl w:val="4658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2"/>
    <w:rsid w:val="0009094A"/>
    <w:rsid w:val="000C52D5"/>
    <w:rsid w:val="001122C4"/>
    <w:rsid w:val="001A1D45"/>
    <w:rsid w:val="00357AF0"/>
    <w:rsid w:val="00600781"/>
    <w:rsid w:val="00611DB2"/>
    <w:rsid w:val="008A2482"/>
    <w:rsid w:val="00976DE7"/>
    <w:rsid w:val="009D59C0"/>
    <w:rsid w:val="00AB2109"/>
    <w:rsid w:val="00B81979"/>
    <w:rsid w:val="00C41993"/>
    <w:rsid w:val="00C67389"/>
    <w:rsid w:val="00CE4E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9CD7E0"/>
  <w15:chartTrackingRefBased/>
  <w15:docId w15:val="{3235C83B-1C97-4A11-8C34-CDD9FC594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248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A2482"/>
    <w:pPr>
      <w:ind w:left="720"/>
      <w:contextualSpacing/>
    </w:pPr>
  </w:style>
  <w:style w:type="paragraph" w:styleId="a5">
    <w:name w:val="header"/>
    <w:basedOn w:val="a"/>
    <w:link w:val="a6"/>
    <w:uiPriority w:val="99"/>
    <w:unhideWhenUsed/>
    <w:rsid w:val="00AB2109"/>
    <w:pPr>
      <w:tabs>
        <w:tab w:val="center" w:pos="4680"/>
        <w:tab w:val="right" w:pos="9360"/>
      </w:tabs>
      <w:spacing w:line="240" w:lineRule="auto"/>
    </w:pPr>
  </w:style>
  <w:style w:type="character" w:customStyle="1" w:styleId="a6">
    <w:name w:val="ヘッダー (文字)"/>
    <w:basedOn w:val="a0"/>
    <w:link w:val="a5"/>
    <w:uiPriority w:val="99"/>
    <w:rsid w:val="00AB2109"/>
  </w:style>
  <w:style w:type="paragraph" w:styleId="a7">
    <w:name w:val="footer"/>
    <w:basedOn w:val="a"/>
    <w:link w:val="a8"/>
    <w:uiPriority w:val="99"/>
    <w:unhideWhenUsed/>
    <w:rsid w:val="00AB2109"/>
    <w:pPr>
      <w:tabs>
        <w:tab w:val="center" w:pos="4680"/>
        <w:tab w:val="right" w:pos="9360"/>
      </w:tabs>
      <w:spacing w:line="240" w:lineRule="auto"/>
    </w:pPr>
  </w:style>
  <w:style w:type="character" w:customStyle="1" w:styleId="a8">
    <w:name w:val="フッター (文字)"/>
    <w:basedOn w:val="a0"/>
    <w:link w:val="a7"/>
    <w:uiPriority w:val="99"/>
    <w:rsid w:val="00AB2109"/>
  </w:style>
  <w:style w:type="paragraph" w:customStyle="1" w:styleId="SingleTxtG">
    <w:name w:val="_ Single Txt_G"/>
    <w:basedOn w:val="a"/>
    <w:rsid w:val="00AB2109"/>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TableContents">
    <w:name w:val="Table Contents"/>
    <w:basedOn w:val="a"/>
    <w:rsid w:val="00AB2109"/>
    <w:pPr>
      <w:widowControl w:val="0"/>
      <w:suppressLineNumbers/>
      <w:suppressAutoHyphens/>
      <w:spacing w:line="240" w:lineRule="auto"/>
    </w:pPr>
    <w:rPr>
      <w:rFonts w:ascii="Times New Roman" w:eastAsia="DejaVu Sans" w:hAnsi="Times New Roman" w:cs="Lohit Hindi"/>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717</Words>
  <Characters>4092</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UNECE</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Thompson</dc:creator>
  <cp:keywords/>
  <dc:description/>
  <cp:lastModifiedBy>久直 菅又</cp:lastModifiedBy>
  <cp:revision>7</cp:revision>
  <dcterms:created xsi:type="dcterms:W3CDTF">2018-10-09T07:17:00Z</dcterms:created>
  <dcterms:modified xsi:type="dcterms:W3CDTF">2019-01-05T06:14:00Z</dcterms:modified>
</cp:coreProperties>
</file>